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idowControl w:val="0"/>
        <w:tabs>
          <w:tab w:val="left" w:pos="0"/>
          <w:tab w:val="left" w:pos="3165"/>
          <w:tab w:val="center" w:pos="4153"/>
        </w:tabs>
        <w:autoSpaceDE w:val="0"/>
        <w:autoSpaceDN w:val="0"/>
        <w:adjustRightInd w:val="0"/>
        <w:spacing w:before="0" w:after="0" w:line="360" w:lineRule="auto"/>
        <w:jc w:val="center"/>
        <w:outlineLvl w:val="0"/>
        <w:rPr>
          <w:rFonts w:hint="eastAsia" w:ascii="宋体" w:hAnsi="宋体" w:eastAsia="宋体" w:cs="Times New Roman"/>
          <w:b/>
          <w:bCs/>
          <w:color w:val="auto"/>
          <w:kern w:val="44"/>
          <w:sz w:val="44"/>
          <w:szCs w:val="44"/>
          <w:lang w:val="en-US" w:eastAsia="zh-CN" w:bidi="ar-SA"/>
        </w:rPr>
      </w:pPr>
      <w:r>
        <w:rPr>
          <w:rFonts w:hint="eastAsia" w:ascii="宋体" w:hAnsi="宋体" w:eastAsia="宋体" w:cs="Times New Roman"/>
          <w:b/>
          <w:bCs/>
          <w:color w:val="auto"/>
          <w:kern w:val="44"/>
          <w:sz w:val="44"/>
          <w:szCs w:val="44"/>
          <w:lang w:val="en-US" w:eastAsia="zh-CN" w:bidi="ar-SA"/>
        </w:rPr>
        <w:t>内河船员基本安全急救实训中心建设项目</w:t>
      </w:r>
    </w:p>
    <w:p>
      <w:pPr>
        <w:keepNext/>
        <w:keepLines/>
        <w:widowControl w:val="0"/>
        <w:tabs>
          <w:tab w:val="left" w:pos="0"/>
          <w:tab w:val="left" w:pos="3165"/>
          <w:tab w:val="center" w:pos="4153"/>
        </w:tabs>
        <w:autoSpaceDE w:val="0"/>
        <w:autoSpaceDN w:val="0"/>
        <w:adjustRightInd w:val="0"/>
        <w:spacing w:before="0" w:after="0" w:line="360" w:lineRule="auto"/>
        <w:jc w:val="left"/>
        <w:outlineLvl w:val="0"/>
        <w:rPr>
          <w:rFonts w:ascii="宋体" w:hAnsi="宋体" w:eastAsia="宋体" w:cs="Times New Roman"/>
          <w:b/>
          <w:bCs/>
          <w:color w:val="auto"/>
          <w:kern w:val="44"/>
          <w:sz w:val="44"/>
          <w:szCs w:val="44"/>
          <w:lang w:val="en-US" w:eastAsia="zh-CN" w:bidi="ar-SA"/>
        </w:rPr>
      </w:pPr>
      <w:r>
        <w:rPr>
          <w:rFonts w:ascii="宋体" w:hAnsi="宋体" w:eastAsia="宋体" w:cs="Times New Roman"/>
          <w:b/>
          <w:bCs/>
          <w:color w:val="auto"/>
          <w:kern w:val="44"/>
          <w:sz w:val="44"/>
          <w:szCs w:val="44"/>
          <w:lang w:val="en-US" w:eastAsia="zh-CN" w:bidi="ar-SA"/>
        </w:rPr>
        <w:tab/>
      </w:r>
      <w:bookmarkStart w:id="0" w:name="_Toc35393789"/>
      <w:bookmarkStart w:id="1" w:name="_Toc28359001"/>
      <w:r>
        <w:rPr>
          <w:rFonts w:hint="eastAsia" w:ascii="宋体" w:hAnsi="宋体" w:eastAsia="宋体" w:cs="Times New Roman"/>
          <w:b/>
          <w:bCs/>
          <w:color w:val="auto"/>
          <w:kern w:val="44"/>
          <w:sz w:val="44"/>
          <w:szCs w:val="44"/>
          <w:lang w:val="en-US" w:eastAsia="zh-CN" w:bidi="ar-SA"/>
        </w:rPr>
        <w:t>招标公告</w:t>
      </w:r>
      <w:bookmarkEnd w:id="0"/>
      <w:bookmarkEnd w:id="1"/>
    </w:p>
    <w:p>
      <w:pPr>
        <w:pBdr>
          <w:top w:val="single" w:color="auto" w:sz="4" w:space="1"/>
          <w:left w:val="single" w:color="auto" w:sz="4" w:space="4"/>
          <w:bottom w:val="single" w:color="auto" w:sz="4" w:space="1"/>
          <w:right w:val="single" w:color="auto" w:sz="4" w:space="4"/>
        </w:pBdr>
        <w:ind w:firstLine="560" w:firstLineChars="200"/>
        <w:rPr>
          <w:rFonts w:ascii="宋体" w:hAnsi="宋体" w:eastAsia="宋体" w:cs="Times New Roman"/>
          <w:color w:val="auto"/>
          <w:sz w:val="28"/>
          <w:szCs w:val="28"/>
        </w:rPr>
      </w:pPr>
      <w:r>
        <w:rPr>
          <w:rFonts w:hint="eastAsia" w:ascii="宋体" w:hAnsi="宋体" w:eastAsia="宋体" w:cs="Times New Roman"/>
          <w:color w:val="auto"/>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ascii="宋体" w:hAnsi="宋体" w:eastAsia="宋体" w:cs="Times New Roman"/>
          <w:color w:val="auto"/>
          <w:sz w:val="28"/>
          <w:szCs w:val="28"/>
        </w:rPr>
      </w:pPr>
      <w:r>
        <w:rPr>
          <w:rFonts w:hint="eastAsia" w:ascii="宋体" w:hAnsi="宋体" w:eastAsia="宋体" w:cs="Times New Roman"/>
          <w:color w:val="auto"/>
          <w:sz w:val="28"/>
          <w:szCs w:val="28"/>
          <w:u w:val="single"/>
        </w:rPr>
        <w:t>内河船员基本安全急救实训中心建设项目</w:t>
      </w:r>
      <w:r>
        <w:rPr>
          <w:rFonts w:hint="eastAsia" w:ascii="宋体" w:hAnsi="宋体" w:eastAsia="宋体" w:cs="Times New Roman"/>
          <w:color w:val="auto"/>
          <w:sz w:val="28"/>
          <w:szCs w:val="28"/>
        </w:rPr>
        <w:t>的潜在投标人应在</w:t>
      </w:r>
      <w:r>
        <w:rPr>
          <w:rFonts w:hint="eastAsia" w:ascii="宋体" w:hAnsi="宋体" w:eastAsia="宋体" w:cs="Times New Roman"/>
          <w:color w:val="auto"/>
          <w:sz w:val="28"/>
          <w:szCs w:val="28"/>
          <w:u w:val="single"/>
        </w:rPr>
        <w:t>北京市朝阳区南磨房路3</w:t>
      </w:r>
      <w:r>
        <w:rPr>
          <w:rFonts w:ascii="宋体" w:hAnsi="宋体" w:eastAsia="宋体" w:cs="Times New Roman"/>
          <w:color w:val="auto"/>
          <w:sz w:val="28"/>
          <w:szCs w:val="28"/>
          <w:u w:val="single"/>
        </w:rPr>
        <w:t>7</w:t>
      </w:r>
      <w:r>
        <w:rPr>
          <w:rFonts w:hint="eastAsia" w:ascii="宋体" w:hAnsi="宋体" w:eastAsia="宋体" w:cs="Times New Roman"/>
          <w:color w:val="auto"/>
          <w:sz w:val="28"/>
          <w:szCs w:val="28"/>
          <w:u w:val="single"/>
        </w:rPr>
        <w:t>号华腾北搪商务大厦1</w:t>
      </w:r>
      <w:r>
        <w:rPr>
          <w:rFonts w:ascii="宋体" w:hAnsi="宋体" w:eastAsia="宋体" w:cs="Times New Roman"/>
          <w:color w:val="auto"/>
          <w:sz w:val="28"/>
          <w:szCs w:val="28"/>
          <w:u w:val="single"/>
        </w:rPr>
        <w:t>1</w:t>
      </w:r>
      <w:r>
        <w:rPr>
          <w:rFonts w:hint="eastAsia" w:ascii="宋体" w:hAnsi="宋体" w:eastAsia="宋体" w:cs="Times New Roman"/>
          <w:color w:val="auto"/>
          <w:sz w:val="28"/>
          <w:szCs w:val="28"/>
          <w:u w:val="single"/>
        </w:rPr>
        <w:t>层</w:t>
      </w:r>
      <w:r>
        <w:rPr>
          <w:rFonts w:hint="eastAsia" w:ascii="宋体" w:hAnsi="宋体" w:eastAsia="宋体" w:cs="Times New Roman"/>
          <w:color w:val="auto"/>
          <w:sz w:val="28"/>
          <w:szCs w:val="28"/>
          <w:u w:val="single"/>
          <w:lang w:val="en-US" w:eastAsia="zh-CN"/>
        </w:rPr>
        <w:t>1112</w:t>
      </w:r>
      <w:r>
        <w:rPr>
          <w:rFonts w:hint="eastAsia" w:ascii="宋体" w:hAnsi="宋体" w:eastAsia="宋体" w:cs="Times New Roman"/>
          <w:color w:val="auto"/>
          <w:sz w:val="28"/>
          <w:szCs w:val="28"/>
          <w:u w:val="single"/>
        </w:rPr>
        <w:t>室</w:t>
      </w:r>
      <w:r>
        <w:rPr>
          <w:rFonts w:hint="eastAsia" w:ascii="宋体" w:hAnsi="宋体" w:eastAsia="宋体" w:cs="Times New Roman"/>
          <w:color w:val="auto"/>
          <w:sz w:val="28"/>
          <w:szCs w:val="28"/>
        </w:rPr>
        <w:t>获取招标文件，并于</w:t>
      </w:r>
      <w:r>
        <w:rPr>
          <w:rFonts w:hint="eastAsia" w:ascii="宋体" w:hAnsi="宋体" w:eastAsia="宋体" w:cs="Times New Roman"/>
          <w:color w:val="auto"/>
          <w:sz w:val="28"/>
          <w:szCs w:val="28"/>
          <w:u w:val="single"/>
          <w:lang w:val="en-US" w:eastAsia="zh-CN"/>
        </w:rPr>
        <w:t>2020</w:t>
      </w:r>
      <w:r>
        <w:rPr>
          <w:rFonts w:hint="eastAsia" w:ascii="宋体" w:hAnsi="宋体" w:eastAsia="宋体" w:cs="Times New Roman"/>
          <w:bCs/>
          <w:color w:val="auto"/>
          <w:sz w:val="28"/>
          <w:szCs w:val="28"/>
          <w:u w:val="single"/>
        </w:rPr>
        <w:t>年</w:t>
      </w:r>
      <w:r>
        <w:rPr>
          <w:rFonts w:hint="eastAsia" w:ascii="宋体" w:hAnsi="宋体" w:eastAsia="宋体" w:cs="Times New Roman"/>
          <w:bCs/>
          <w:color w:val="auto"/>
          <w:sz w:val="28"/>
          <w:szCs w:val="28"/>
          <w:u w:val="single"/>
          <w:lang w:val="en-US" w:eastAsia="zh-CN"/>
        </w:rPr>
        <w:t>12</w:t>
      </w:r>
      <w:r>
        <w:rPr>
          <w:rFonts w:hint="eastAsia" w:ascii="宋体" w:hAnsi="宋体" w:eastAsia="宋体" w:cs="Times New Roman"/>
          <w:bCs/>
          <w:color w:val="auto"/>
          <w:sz w:val="28"/>
          <w:szCs w:val="28"/>
          <w:u w:val="single"/>
        </w:rPr>
        <w:t>月</w:t>
      </w:r>
      <w:r>
        <w:rPr>
          <w:rFonts w:hint="eastAsia" w:ascii="宋体" w:hAnsi="宋体" w:eastAsia="宋体" w:cs="Times New Roman"/>
          <w:bCs/>
          <w:color w:val="auto"/>
          <w:sz w:val="28"/>
          <w:szCs w:val="28"/>
          <w:u w:val="single"/>
          <w:lang w:val="en-US" w:eastAsia="zh-CN"/>
        </w:rPr>
        <w:t>15</w:t>
      </w:r>
      <w:r>
        <w:rPr>
          <w:rFonts w:hint="eastAsia" w:ascii="宋体" w:hAnsi="宋体" w:eastAsia="宋体" w:cs="Times New Roman"/>
          <w:bCs/>
          <w:color w:val="auto"/>
          <w:sz w:val="28"/>
          <w:szCs w:val="28"/>
          <w:u w:val="single"/>
        </w:rPr>
        <w:t>日</w:t>
      </w:r>
      <w:r>
        <w:rPr>
          <w:rFonts w:hint="eastAsia" w:ascii="宋体" w:hAnsi="宋体" w:eastAsia="宋体" w:cs="Times New Roman"/>
          <w:bCs/>
          <w:color w:val="auto"/>
          <w:sz w:val="28"/>
          <w:szCs w:val="28"/>
          <w:u w:val="single"/>
          <w:lang w:val="en-US" w:eastAsia="zh-CN"/>
        </w:rPr>
        <w:t>9</w:t>
      </w:r>
      <w:r>
        <w:rPr>
          <w:rFonts w:hint="eastAsia" w:ascii="宋体" w:hAnsi="宋体" w:eastAsia="宋体" w:cs="Times New Roman"/>
          <w:bCs/>
          <w:color w:val="auto"/>
          <w:sz w:val="28"/>
          <w:szCs w:val="28"/>
          <w:u w:val="single"/>
        </w:rPr>
        <w:t>点</w:t>
      </w:r>
      <w:r>
        <w:rPr>
          <w:rFonts w:hint="eastAsia" w:ascii="宋体" w:hAnsi="宋体" w:eastAsia="宋体" w:cs="Times New Roman"/>
          <w:bCs/>
          <w:color w:val="auto"/>
          <w:sz w:val="28"/>
          <w:szCs w:val="28"/>
          <w:u w:val="single"/>
          <w:lang w:val="en-US" w:eastAsia="zh-CN"/>
        </w:rPr>
        <w:t>30</w:t>
      </w:r>
      <w:r>
        <w:rPr>
          <w:rFonts w:hint="eastAsia" w:ascii="宋体" w:hAnsi="宋体" w:eastAsia="宋体" w:cs="Times New Roman"/>
          <w:bCs/>
          <w:color w:val="auto"/>
          <w:sz w:val="28"/>
          <w:szCs w:val="28"/>
          <w:u w:val="single"/>
        </w:rPr>
        <w:t>分（</w:t>
      </w:r>
      <w:r>
        <w:rPr>
          <w:rFonts w:hint="eastAsia" w:ascii="宋体" w:hAnsi="宋体" w:eastAsia="宋体" w:cs="Times New Roman"/>
          <w:bCs/>
          <w:color w:val="auto"/>
          <w:sz w:val="28"/>
          <w:szCs w:val="28"/>
        </w:rPr>
        <w:t>北京时间）前递交投标</w:t>
      </w:r>
      <w:r>
        <w:rPr>
          <w:rFonts w:ascii="宋体" w:hAnsi="宋体" w:eastAsia="宋体" w:cs="Times New Roman"/>
          <w:bCs/>
          <w:color w:val="auto"/>
          <w:sz w:val="28"/>
          <w:szCs w:val="28"/>
        </w:rPr>
        <w:t>文件</w:t>
      </w:r>
      <w:r>
        <w:rPr>
          <w:rFonts w:hint="eastAsia" w:ascii="宋体" w:hAnsi="宋体" w:eastAsia="宋体" w:cs="Times New Roman"/>
          <w:color w:val="auto"/>
          <w:sz w:val="28"/>
          <w:szCs w:val="28"/>
        </w:rPr>
        <w:t>。</w:t>
      </w:r>
    </w:p>
    <w:p>
      <w:pPr>
        <w:rPr>
          <w:rFonts w:ascii="宋体" w:hAnsi="宋体" w:eastAsia="宋体" w:cs="Times New Roman"/>
          <w:color w:val="auto"/>
          <w:sz w:val="28"/>
          <w:szCs w:val="28"/>
        </w:rPr>
      </w:pPr>
    </w:p>
    <w:p>
      <w:pPr>
        <w:keepNext/>
        <w:keepLines/>
        <w:widowControl w:val="0"/>
        <w:spacing w:before="260" w:after="260" w:line="360" w:lineRule="auto"/>
        <w:jc w:val="both"/>
        <w:outlineLvl w:val="1"/>
        <w:rPr>
          <w:rFonts w:ascii="宋体" w:hAnsi="宋体" w:eastAsia="宋体" w:cs="宋体"/>
          <w:b w:val="0"/>
          <w:bCs/>
          <w:color w:val="auto"/>
          <w:kern w:val="2"/>
          <w:sz w:val="28"/>
          <w:szCs w:val="28"/>
          <w:lang w:val="en-US" w:eastAsia="zh-CN" w:bidi="ar-SA"/>
        </w:rPr>
      </w:pPr>
      <w:bookmarkStart w:id="2" w:name="_Toc35393790"/>
      <w:bookmarkStart w:id="3" w:name="_Toc28359002"/>
      <w:bookmarkStart w:id="4" w:name="_Toc35393621"/>
      <w:bookmarkStart w:id="5" w:name="_Toc28359079"/>
      <w:bookmarkStart w:id="6" w:name="_Hlk24379207"/>
      <w:r>
        <w:rPr>
          <w:rFonts w:hint="eastAsia" w:ascii="宋体" w:hAnsi="宋体" w:eastAsia="宋体" w:cs="宋体"/>
          <w:b w:val="0"/>
          <w:bCs/>
          <w:color w:val="auto"/>
          <w:kern w:val="2"/>
          <w:sz w:val="28"/>
          <w:szCs w:val="28"/>
          <w:lang w:val="en-US" w:eastAsia="zh-CN" w:bidi="ar-SA"/>
        </w:rPr>
        <w:t>一、项目基本情况</w:t>
      </w:r>
      <w:bookmarkEnd w:id="2"/>
      <w:bookmarkEnd w:id="3"/>
      <w:bookmarkEnd w:id="4"/>
      <w:bookmarkEnd w:id="5"/>
    </w:p>
    <w:p>
      <w:pPr>
        <w:ind w:firstLine="560" w:firstLineChars="200"/>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rPr>
        <w:t>项目编号：ZTXY-2020-H4546</w:t>
      </w:r>
      <w:r>
        <w:rPr>
          <w:rFonts w:hint="eastAsia" w:ascii="宋体" w:hAnsi="宋体" w:eastAsia="宋体" w:cs="Times New Roman"/>
          <w:color w:val="auto"/>
          <w:sz w:val="28"/>
          <w:szCs w:val="28"/>
          <w:lang w:val="en-US" w:eastAsia="zh-CN"/>
        </w:rPr>
        <w:t>2</w:t>
      </w:r>
    </w:p>
    <w:p>
      <w:pPr>
        <w:ind w:firstLine="560" w:firstLineChars="200"/>
        <w:rPr>
          <w:rFonts w:ascii="宋体" w:hAnsi="宋体" w:eastAsia="宋体" w:cs="Times New Roman"/>
          <w:color w:val="auto"/>
          <w:sz w:val="28"/>
          <w:szCs w:val="28"/>
        </w:rPr>
      </w:pPr>
      <w:r>
        <w:rPr>
          <w:rFonts w:hint="eastAsia" w:ascii="宋体" w:hAnsi="宋体" w:eastAsia="宋体" w:cs="Times New Roman"/>
          <w:color w:val="auto"/>
          <w:sz w:val="28"/>
          <w:szCs w:val="28"/>
        </w:rPr>
        <w:t>项目名称：内河船舶驾驶实训中心建设项目</w:t>
      </w:r>
    </w:p>
    <w:bookmarkEnd w:id="6"/>
    <w:p>
      <w:pPr>
        <w:ind w:firstLine="560" w:firstLineChars="200"/>
        <w:rPr>
          <w:rFonts w:hint="default" w:ascii="宋体" w:hAnsi="宋体" w:eastAsia="宋体" w:cs="Times New Roman"/>
          <w:color w:val="auto"/>
          <w:sz w:val="28"/>
          <w:szCs w:val="28"/>
          <w:lang w:val="en-US" w:eastAsia="zh-CN"/>
        </w:rPr>
      </w:pPr>
      <w:r>
        <w:rPr>
          <w:rFonts w:hint="eastAsia" w:ascii="宋体" w:hAnsi="宋体" w:eastAsia="宋体" w:cs="Times New Roman"/>
          <w:color w:val="auto"/>
          <w:sz w:val="28"/>
          <w:szCs w:val="28"/>
        </w:rPr>
        <w:t>预算金额：</w:t>
      </w:r>
      <w:r>
        <w:rPr>
          <w:rFonts w:hint="eastAsia" w:ascii="宋体" w:hAnsi="宋体" w:eastAsia="宋体" w:cs="Times New Roman"/>
          <w:color w:val="auto"/>
          <w:sz w:val="28"/>
          <w:szCs w:val="28"/>
          <w:lang w:val="en-US" w:eastAsia="zh-CN"/>
        </w:rPr>
        <w:t>67.452万元</w:t>
      </w:r>
    </w:p>
    <w:p>
      <w:pPr>
        <w:ind w:firstLine="560" w:firstLineChars="200"/>
        <w:rPr>
          <w:rFonts w:hint="default" w:ascii="宋体" w:hAnsi="宋体" w:eastAsia="宋体" w:cs="Times New Roman"/>
          <w:color w:val="auto"/>
          <w:sz w:val="28"/>
          <w:szCs w:val="28"/>
          <w:lang w:val="en-US" w:eastAsia="zh-CN"/>
        </w:rPr>
      </w:pPr>
      <w:r>
        <w:rPr>
          <w:rFonts w:hint="eastAsia" w:ascii="宋体" w:hAnsi="宋体" w:eastAsia="宋体" w:cs="Times New Roman"/>
          <w:color w:val="auto"/>
          <w:sz w:val="28"/>
          <w:szCs w:val="28"/>
        </w:rPr>
        <w:t>最高限价：</w:t>
      </w:r>
      <w:r>
        <w:rPr>
          <w:rFonts w:hint="eastAsia" w:ascii="宋体" w:hAnsi="宋体" w:eastAsia="宋体" w:cs="Times New Roman"/>
          <w:color w:val="auto"/>
          <w:sz w:val="28"/>
          <w:szCs w:val="28"/>
          <w:lang w:val="en-US" w:eastAsia="zh-CN"/>
        </w:rPr>
        <w:t>67.452万元</w:t>
      </w:r>
    </w:p>
    <w:p>
      <w:pPr>
        <w:ind w:firstLine="560" w:firstLineChars="200"/>
        <w:rPr>
          <w:rFonts w:ascii="宋体" w:hAnsi="宋体" w:eastAsia="宋体" w:cs="Times New Roman"/>
          <w:color w:val="auto"/>
          <w:sz w:val="28"/>
          <w:szCs w:val="28"/>
        </w:rPr>
      </w:pPr>
      <w:r>
        <w:rPr>
          <w:rFonts w:hint="eastAsia" w:ascii="宋体" w:hAnsi="宋体" w:eastAsia="宋体" w:cs="Times New Roman"/>
          <w:color w:val="auto"/>
          <w:sz w:val="28"/>
          <w:szCs w:val="28"/>
        </w:rPr>
        <w:t>采购需求：</w:t>
      </w:r>
    </w:p>
    <w:tbl>
      <w:tblPr>
        <w:tblStyle w:val="4"/>
        <w:tblW w:w="102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0"/>
        <w:gridCol w:w="1390"/>
        <w:gridCol w:w="6795"/>
        <w:gridCol w:w="705"/>
        <w:gridCol w:w="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3" w:hRule="atLeast"/>
          <w:jc w:val="center"/>
        </w:trPr>
        <w:tc>
          <w:tcPr>
            <w:tcW w:w="570" w:type="dxa"/>
            <w:noWrap/>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b/>
                <w:color w:val="000000"/>
                <w:kern w:val="2"/>
                <w:sz w:val="21"/>
                <w:szCs w:val="21"/>
              </w:rPr>
            </w:pPr>
            <w:r>
              <w:rPr>
                <w:rFonts w:hint="eastAsia" w:asciiTheme="minorEastAsia" w:hAnsiTheme="minorEastAsia" w:eastAsiaTheme="minorEastAsia" w:cstheme="minorEastAsia"/>
                <w:b/>
                <w:color w:val="000000"/>
                <w:kern w:val="0"/>
                <w:sz w:val="21"/>
                <w:szCs w:val="21"/>
                <w:lang w:bidi="ar"/>
              </w:rPr>
              <w:t>序号</w:t>
            </w:r>
          </w:p>
        </w:tc>
        <w:tc>
          <w:tcPr>
            <w:tcW w:w="1390" w:type="dxa"/>
            <w:noWrap/>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b/>
                <w:color w:val="000000"/>
                <w:kern w:val="2"/>
                <w:sz w:val="21"/>
                <w:szCs w:val="21"/>
              </w:rPr>
            </w:pPr>
            <w:r>
              <w:rPr>
                <w:rFonts w:hint="eastAsia" w:asciiTheme="minorEastAsia" w:hAnsiTheme="minorEastAsia" w:eastAsiaTheme="minorEastAsia" w:cstheme="minorEastAsia"/>
                <w:b/>
                <w:color w:val="000000"/>
                <w:kern w:val="0"/>
                <w:sz w:val="21"/>
                <w:szCs w:val="21"/>
                <w:lang w:val="en-US" w:eastAsia="zh-CN" w:bidi="ar"/>
              </w:rPr>
              <w:t>标的</w:t>
            </w:r>
            <w:r>
              <w:rPr>
                <w:rFonts w:hint="eastAsia" w:asciiTheme="minorEastAsia" w:hAnsiTheme="minorEastAsia" w:eastAsiaTheme="minorEastAsia" w:cstheme="minorEastAsia"/>
                <w:b/>
                <w:color w:val="000000"/>
                <w:kern w:val="0"/>
                <w:sz w:val="21"/>
                <w:szCs w:val="21"/>
                <w:lang w:bidi="ar"/>
              </w:rPr>
              <w:t>名称</w:t>
            </w:r>
          </w:p>
        </w:tc>
        <w:tc>
          <w:tcPr>
            <w:tcW w:w="6795" w:type="dxa"/>
            <w:noWrap/>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b/>
                <w:color w:val="000000"/>
                <w:kern w:val="2"/>
                <w:sz w:val="21"/>
                <w:szCs w:val="21"/>
              </w:rPr>
            </w:pPr>
            <w:r>
              <w:rPr>
                <w:rFonts w:hint="eastAsia" w:asciiTheme="minorEastAsia" w:hAnsiTheme="minorEastAsia" w:eastAsiaTheme="minorEastAsia" w:cstheme="minorEastAsia"/>
                <w:b/>
                <w:color w:val="000000"/>
                <w:kern w:val="0"/>
                <w:sz w:val="21"/>
                <w:szCs w:val="21"/>
                <w:lang w:bidi="ar"/>
              </w:rPr>
              <w:t>技术要求</w:t>
            </w:r>
          </w:p>
        </w:tc>
        <w:tc>
          <w:tcPr>
            <w:tcW w:w="705" w:type="dxa"/>
            <w:noWrap/>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b/>
                <w:color w:val="000000"/>
                <w:kern w:val="2"/>
                <w:sz w:val="21"/>
                <w:szCs w:val="21"/>
              </w:rPr>
            </w:pPr>
            <w:r>
              <w:rPr>
                <w:rFonts w:hint="eastAsia" w:asciiTheme="minorEastAsia" w:hAnsiTheme="minorEastAsia" w:eastAsiaTheme="minorEastAsia" w:cstheme="minorEastAsia"/>
                <w:b/>
                <w:color w:val="000000"/>
                <w:kern w:val="0"/>
                <w:sz w:val="21"/>
                <w:szCs w:val="21"/>
                <w:lang w:bidi="ar"/>
              </w:rPr>
              <w:t>采购数量</w:t>
            </w:r>
          </w:p>
        </w:tc>
        <w:tc>
          <w:tcPr>
            <w:tcW w:w="794" w:type="dxa"/>
            <w:noWrap/>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b/>
                <w:color w:val="000000"/>
                <w:kern w:val="2"/>
                <w:sz w:val="21"/>
                <w:szCs w:val="21"/>
              </w:rPr>
            </w:pPr>
            <w:r>
              <w:rPr>
                <w:rFonts w:hint="eastAsia" w:asciiTheme="minorEastAsia" w:hAnsiTheme="minorEastAsia" w:eastAsiaTheme="minorEastAsia" w:cstheme="minorEastAsia"/>
                <w:b/>
                <w:color w:val="000000"/>
                <w:kern w:val="2"/>
                <w:sz w:val="21"/>
                <w:szCs w:val="21"/>
              </w:rPr>
              <w:t>是否接受进口产品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70" w:type="dxa"/>
            <w:shd w:val="clear" w:color="auto" w:fill="auto"/>
            <w:noWrap/>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0"/>
                <w:sz w:val="21"/>
                <w:szCs w:val="21"/>
                <w:lang w:bidi="ar"/>
              </w:rPr>
              <w:t>1</w:t>
            </w:r>
          </w:p>
        </w:tc>
        <w:tc>
          <w:tcPr>
            <w:tcW w:w="1390"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kern w:val="3"/>
                <w:sz w:val="21"/>
                <w:szCs w:val="21"/>
              </w:rPr>
            </w:pPr>
            <w:r>
              <w:rPr>
                <w:rFonts w:hint="eastAsia" w:asciiTheme="minorEastAsia" w:hAnsiTheme="minorEastAsia" w:eastAsiaTheme="minorEastAsia" w:cstheme="minorEastAsia"/>
                <w:kern w:val="3"/>
                <w:sz w:val="21"/>
                <w:szCs w:val="21"/>
              </w:rPr>
              <w:t>模拟消防舱室</w:t>
            </w:r>
          </w:p>
          <w:p>
            <w:pPr>
              <w:widowControl w:val="0"/>
              <w:suppressAutoHyphens w:val="0"/>
              <w:autoSpaceDN/>
              <w:spacing w:after="120" w:line="276" w:lineRule="auto"/>
              <w:ind w:left="0" w:leftChars="0" w:firstLine="0" w:firstLineChars="0"/>
              <w:jc w:val="both"/>
              <w:textAlignment w:val="auto"/>
              <w:rPr>
                <w:rFonts w:hint="eastAsia" w:asciiTheme="minorEastAsia" w:hAnsiTheme="minorEastAsia" w:eastAsiaTheme="minorEastAsia" w:cstheme="minorEastAsia"/>
                <w:kern w:val="2"/>
                <w:sz w:val="21"/>
                <w:szCs w:val="21"/>
                <w:lang w:val="en-US" w:eastAsia="zh-CN" w:bidi="ar-SA"/>
              </w:rPr>
            </w:pPr>
          </w:p>
        </w:tc>
        <w:tc>
          <w:tcPr>
            <w:tcW w:w="6795" w:type="dxa"/>
            <w:shd w:val="clear" w:color="auto" w:fill="auto"/>
            <w:noWrap w:val="0"/>
            <w:tcMar>
              <w:top w:w="15" w:type="dxa"/>
              <w:left w:w="15" w:type="dxa"/>
              <w:right w:w="15" w:type="dxa"/>
            </w:tcMar>
            <w:vAlign w:val="center"/>
          </w:tcPr>
          <w:p>
            <w:pPr>
              <w:widowControl/>
              <w:suppressAutoHyphens/>
              <w:autoSpaceDN/>
              <w:spacing w:line="276"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系统配置</w:t>
            </w:r>
          </w:p>
          <w:p>
            <w:pPr>
              <w:widowControl w:val="0"/>
              <w:suppressAutoHyphens w:val="0"/>
              <w:autoSpaceDN/>
              <w:spacing w:after="120" w:line="240" w:lineRule="auto"/>
              <w:ind w:left="0" w:leftChars="0" w:firstLine="420" w:firstLineChars="20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总体要求：消防舱体仿实船结构，分两层建筑，一层设3个房间，二层设一个房间，主体采用钢结构，部分采用玻璃钢，外用不锈钢蒙皮。</w:t>
            </w:r>
          </w:p>
          <w:p>
            <w:pPr>
              <w:widowControl/>
              <w:suppressAutoHyphens/>
              <w:autoSpaceDN/>
              <w:spacing w:line="276"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1.配置1个配电间、走廊（通道）/敞开式空房、带栅栏的机舱、符合机舱要求的脱险通道（安装防火门）和符合要求的通风系统，并在入口处设置符合船舶要求的手动式报警装置及张贴必要的警戒和说明。</w:t>
            </w:r>
          </w:p>
          <w:p>
            <w:pPr>
              <w:widowControl/>
              <w:suppressAutoHyphens/>
              <w:autoSpaceDN/>
              <w:spacing w:line="276"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2.配置固定水灭火系统1套</w:t>
            </w:r>
          </w:p>
          <w:p>
            <w:pPr>
              <w:pStyle w:val="2"/>
              <w:ind w:left="0" w:leftChars="0"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w:t>
            </w:r>
          </w:p>
        </w:tc>
        <w:tc>
          <w:tcPr>
            <w:tcW w:w="705" w:type="dxa"/>
            <w:shd w:val="clear" w:color="auto" w:fill="auto"/>
            <w:noWrap/>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1</w:t>
            </w:r>
          </w:p>
        </w:tc>
        <w:tc>
          <w:tcPr>
            <w:tcW w:w="794"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6" w:hRule="atLeast"/>
          <w:jc w:val="center"/>
        </w:trPr>
        <w:tc>
          <w:tcPr>
            <w:tcW w:w="570" w:type="dxa"/>
            <w:shd w:val="clear" w:color="auto" w:fill="auto"/>
            <w:noWrap/>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2</w:t>
            </w:r>
          </w:p>
        </w:tc>
        <w:tc>
          <w:tcPr>
            <w:tcW w:w="1390"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手提灭火器</w:t>
            </w:r>
          </w:p>
        </w:tc>
        <w:tc>
          <w:tcPr>
            <w:tcW w:w="6795" w:type="dxa"/>
            <w:shd w:val="clear" w:color="auto" w:fill="auto"/>
            <w:noWrap w:val="0"/>
            <w:tcMar>
              <w:top w:w="15" w:type="dxa"/>
              <w:left w:w="15" w:type="dxa"/>
              <w:right w:w="15" w:type="dxa"/>
            </w:tcMar>
            <w:vAlign w:val="center"/>
          </w:tcPr>
          <w:p>
            <w:pPr>
              <w:widowControl/>
              <w:suppressAutoHyphens/>
              <w:autoSpaceDN/>
              <w:spacing w:line="276"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二氧化碳、干粉、泡沫、水基灭火器</w:t>
            </w:r>
          </w:p>
          <w:p>
            <w:pPr>
              <w:pStyle w:val="2"/>
              <w:ind w:left="0" w:leftChars="0" w:firstLine="0" w:firstLineChars="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color w:val="000000"/>
                <w:kern w:val="2"/>
                <w:sz w:val="21"/>
                <w:szCs w:val="21"/>
                <w:lang w:eastAsia="zh-CN" w:bidi="ar"/>
              </w:rPr>
              <w:t>．．．．．．</w:t>
            </w:r>
          </w:p>
        </w:tc>
        <w:tc>
          <w:tcPr>
            <w:tcW w:w="705" w:type="dxa"/>
            <w:shd w:val="clear" w:color="auto" w:fill="auto"/>
            <w:noWrap/>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10</w:t>
            </w:r>
          </w:p>
        </w:tc>
        <w:tc>
          <w:tcPr>
            <w:tcW w:w="794"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70" w:type="dxa"/>
            <w:shd w:val="clear" w:color="auto" w:fill="auto"/>
            <w:noWrap/>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3</w:t>
            </w:r>
          </w:p>
        </w:tc>
        <w:tc>
          <w:tcPr>
            <w:tcW w:w="1390"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水龙带</w:t>
            </w:r>
          </w:p>
        </w:tc>
        <w:tc>
          <w:tcPr>
            <w:tcW w:w="6795" w:type="dxa"/>
            <w:shd w:val="clear" w:color="auto" w:fill="auto"/>
            <w:noWrap w:val="0"/>
            <w:tcMar>
              <w:top w:w="15" w:type="dxa"/>
              <w:left w:w="15" w:type="dxa"/>
              <w:right w:w="15" w:type="dxa"/>
            </w:tcMar>
            <w:vAlign w:val="center"/>
          </w:tcPr>
          <w:p>
            <w:pPr>
              <w:widowControl/>
              <w:suppressAutoHyphens/>
              <w:autoSpaceDN/>
              <w:spacing w:line="276"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10K-50mm-20M,10K-65mm-20M各1条</w:t>
            </w:r>
          </w:p>
          <w:p>
            <w:pPr>
              <w:pStyle w:val="2"/>
              <w:ind w:left="0" w:leftChars="0" w:firstLine="0" w:firstLineChars="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color w:val="000000"/>
                <w:kern w:val="2"/>
                <w:sz w:val="21"/>
                <w:szCs w:val="21"/>
                <w:lang w:eastAsia="zh-CN" w:bidi="ar"/>
              </w:rPr>
              <w:t>．．．．．．</w:t>
            </w:r>
          </w:p>
        </w:tc>
        <w:tc>
          <w:tcPr>
            <w:tcW w:w="705"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4</w:t>
            </w:r>
          </w:p>
        </w:tc>
        <w:tc>
          <w:tcPr>
            <w:tcW w:w="794"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70" w:type="dxa"/>
            <w:shd w:val="clear" w:color="auto" w:fill="auto"/>
            <w:noWrap/>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4</w:t>
            </w:r>
          </w:p>
        </w:tc>
        <w:tc>
          <w:tcPr>
            <w:tcW w:w="1390"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消防栓</w:t>
            </w:r>
          </w:p>
        </w:tc>
        <w:tc>
          <w:tcPr>
            <w:tcW w:w="6795" w:type="dxa"/>
            <w:shd w:val="clear" w:color="auto" w:fill="auto"/>
            <w:noWrap w:val="0"/>
            <w:tcMar>
              <w:top w:w="15" w:type="dxa"/>
              <w:left w:w="15" w:type="dxa"/>
              <w:right w:w="15" w:type="dxa"/>
            </w:tcMar>
            <w:vAlign w:val="center"/>
          </w:tcPr>
          <w:p>
            <w:pPr>
              <w:widowControl/>
              <w:suppressAutoHyphens/>
              <w:autoSpaceDN/>
              <w:spacing w:line="276"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通用型</w:t>
            </w:r>
          </w:p>
          <w:p>
            <w:pPr>
              <w:pStyle w:val="2"/>
              <w:ind w:left="0" w:leftChars="0" w:firstLine="0" w:firstLineChars="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color w:val="000000"/>
                <w:kern w:val="2"/>
                <w:sz w:val="21"/>
                <w:szCs w:val="21"/>
                <w:lang w:eastAsia="zh-CN" w:bidi="ar"/>
              </w:rPr>
              <w:t>．．．．．．</w:t>
            </w:r>
          </w:p>
        </w:tc>
        <w:tc>
          <w:tcPr>
            <w:tcW w:w="705"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2</w:t>
            </w:r>
          </w:p>
        </w:tc>
        <w:tc>
          <w:tcPr>
            <w:tcW w:w="794"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70" w:type="dxa"/>
            <w:shd w:val="clear" w:color="auto" w:fill="auto"/>
            <w:noWrap/>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5</w:t>
            </w:r>
          </w:p>
        </w:tc>
        <w:tc>
          <w:tcPr>
            <w:tcW w:w="1390"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水枪</w:t>
            </w:r>
          </w:p>
        </w:tc>
        <w:tc>
          <w:tcPr>
            <w:tcW w:w="6795" w:type="dxa"/>
            <w:shd w:val="clear" w:color="auto" w:fill="auto"/>
            <w:noWrap w:val="0"/>
            <w:tcMar>
              <w:top w:w="15" w:type="dxa"/>
              <w:left w:w="15" w:type="dxa"/>
              <w:right w:w="15" w:type="dxa"/>
            </w:tcMar>
            <w:vAlign w:val="center"/>
          </w:tcPr>
          <w:p>
            <w:pPr>
              <w:widowControl/>
              <w:suppressAutoHyphens/>
              <w:autoSpaceDN/>
              <w:spacing w:line="276"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水柱/水雾两用</w:t>
            </w:r>
          </w:p>
          <w:p>
            <w:pPr>
              <w:pStyle w:val="2"/>
              <w:ind w:left="0" w:leftChars="0" w:firstLine="0" w:firstLineChars="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color w:val="000000"/>
                <w:kern w:val="2"/>
                <w:sz w:val="21"/>
                <w:szCs w:val="21"/>
                <w:lang w:eastAsia="zh-CN" w:bidi="ar"/>
              </w:rPr>
              <w:t>．．．．．．</w:t>
            </w:r>
          </w:p>
        </w:tc>
        <w:tc>
          <w:tcPr>
            <w:tcW w:w="705"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6</w:t>
            </w:r>
          </w:p>
        </w:tc>
        <w:tc>
          <w:tcPr>
            <w:tcW w:w="794"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70" w:type="dxa"/>
            <w:shd w:val="clear" w:color="auto" w:fill="auto"/>
            <w:noWrap/>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6</w:t>
            </w:r>
          </w:p>
        </w:tc>
        <w:tc>
          <w:tcPr>
            <w:tcW w:w="1390"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消防员装备</w:t>
            </w:r>
          </w:p>
        </w:tc>
        <w:tc>
          <w:tcPr>
            <w:tcW w:w="6795" w:type="dxa"/>
            <w:shd w:val="clear" w:color="auto" w:fill="auto"/>
            <w:noWrap w:val="0"/>
            <w:tcMar>
              <w:top w:w="15" w:type="dxa"/>
              <w:left w:w="15" w:type="dxa"/>
              <w:right w:w="15" w:type="dxa"/>
            </w:tcMar>
            <w:vAlign w:val="center"/>
          </w:tcPr>
          <w:p>
            <w:pPr>
              <w:widowControl/>
              <w:suppressAutoHyphens/>
              <w:autoSpaceDN/>
              <w:spacing w:line="276"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符合国际消防安全系统规则第三章的要求</w:t>
            </w:r>
          </w:p>
          <w:p>
            <w:pPr>
              <w:pStyle w:val="2"/>
              <w:ind w:left="0" w:leftChars="0" w:firstLine="0" w:firstLineChars="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color w:val="000000"/>
                <w:kern w:val="2"/>
                <w:sz w:val="21"/>
                <w:szCs w:val="21"/>
                <w:lang w:eastAsia="zh-CN" w:bidi="ar"/>
              </w:rPr>
              <w:t>．．．．．．</w:t>
            </w:r>
          </w:p>
        </w:tc>
        <w:tc>
          <w:tcPr>
            <w:tcW w:w="705"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2</w:t>
            </w:r>
          </w:p>
        </w:tc>
        <w:tc>
          <w:tcPr>
            <w:tcW w:w="794"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5" w:hRule="atLeast"/>
          <w:jc w:val="center"/>
        </w:trPr>
        <w:tc>
          <w:tcPr>
            <w:tcW w:w="570" w:type="dxa"/>
            <w:shd w:val="clear" w:color="auto" w:fill="auto"/>
            <w:noWrap/>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7</w:t>
            </w:r>
          </w:p>
        </w:tc>
        <w:tc>
          <w:tcPr>
            <w:tcW w:w="1390"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储压式呼吸器</w:t>
            </w:r>
          </w:p>
        </w:tc>
        <w:tc>
          <w:tcPr>
            <w:tcW w:w="6795" w:type="dxa"/>
            <w:shd w:val="clear" w:color="auto" w:fill="auto"/>
            <w:noWrap w:val="0"/>
            <w:tcMar>
              <w:top w:w="15" w:type="dxa"/>
              <w:left w:w="15" w:type="dxa"/>
              <w:right w:w="15" w:type="dxa"/>
            </w:tcMar>
            <w:vAlign w:val="center"/>
          </w:tcPr>
          <w:p>
            <w:pPr>
              <w:widowControl/>
              <w:suppressAutoHyphens/>
              <w:autoSpaceDN/>
              <w:spacing w:line="276"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紧急逃生呼吸器EEBD，空气瓶容积≥2.2L</w:t>
            </w:r>
          </w:p>
          <w:p>
            <w:pPr>
              <w:pStyle w:val="2"/>
              <w:ind w:left="0" w:leftChars="0" w:firstLine="0" w:firstLineChars="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color w:val="000000"/>
                <w:kern w:val="2"/>
                <w:sz w:val="21"/>
                <w:szCs w:val="21"/>
                <w:lang w:eastAsia="zh-CN" w:bidi="ar"/>
              </w:rPr>
              <w:t>．．．．．．</w:t>
            </w:r>
          </w:p>
        </w:tc>
        <w:tc>
          <w:tcPr>
            <w:tcW w:w="705"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2</w:t>
            </w:r>
          </w:p>
        </w:tc>
        <w:tc>
          <w:tcPr>
            <w:tcW w:w="794"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570" w:type="dxa"/>
            <w:shd w:val="clear" w:color="auto" w:fill="auto"/>
            <w:noWrap/>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8</w:t>
            </w:r>
          </w:p>
        </w:tc>
        <w:tc>
          <w:tcPr>
            <w:tcW w:w="1390"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防毒面具</w:t>
            </w:r>
          </w:p>
        </w:tc>
        <w:tc>
          <w:tcPr>
            <w:tcW w:w="6795" w:type="dxa"/>
            <w:shd w:val="clear" w:color="auto" w:fill="auto"/>
            <w:noWrap w:val="0"/>
            <w:tcMar>
              <w:top w:w="15" w:type="dxa"/>
              <w:left w:w="15" w:type="dxa"/>
              <w:right w:w="15" w:type="dxa"/>
            </w:tcMar>
            <w:vAlign w:val="center"/>
          </w:tcPr>
          <w:p>
            <w:pPr>
              <w:widowControl/>
              <w:suppressAutoHyphens/>
              <w:autoSpaceDN/>
              <w:spacing w:line="276"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360度全密封</w:t>
            </w:r>
          </w:p>
          <w:p>
            <w:pPr>
              <w:pStyle w:val="2"/>
              <w:ind w:left="0" w:leftChars="0" w:firstLine="0" w:firstLineChars="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color w:val="000000"/>
                <w:kern w:val="2"/>
                <w:sz w:val="21"/>
                <w:szCs w:val="21"/>
                <w:lang w:eastAsia="zh-CN" w:bidi="ar"/>
              </w:rPr>
              <w:t>．．．．．．</w:t>
            </w:r>
          </w:p>
        </w:tc>
        <w:tc>
          <w:tcPr>
            <w:tcW w:w="705"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2</w:t>
            </w:r>
          </w:p>
        </w:tc>
        <w:tc>
          <w:tcPr>
            <w:tcW w:w="794"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0" w:hRule="atLeast"/>
          <w:jc w:val="center"/>
        </w:trPr>
        <w:tc>
          <w:tcPr>
            <w:tcW w:w="570" w:type="dxa"/>
            <w:shd w:val="clear" w:color="auto" w:fill="auto"/>
            <w:noWrap/>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9</w:t>
            </w:r>
          </w:p>
        </w:tc>
        <w:tc>
          <w:tcPr>
            <w:tcW w:w="1390"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火灾报警装置</w:t>
            </w:r>
          </w:p>
        </w:tc>
        <w:tc>
          <w:tcPr>
            <w:tcW w:w="6795" w:type="dxa"/>
            <w:shd w:val="clear" w:color="auto" w:fill="auto"/>
            <w:noWrap w:val="0"/>
            <w:tcMar>
              <w:top w:w="15" w:type="dxa"/>
              <w:left w:w="15" w:type="dxa"/>
              <w:right w:w="15" w:type="dxa"/>
            </w:tcMar>
            <w:vAlign w:val="center"/>
          </w:tcPr>
          <w:p>
            <w:pPr>
              <w:widowControl/>
              <w:suppressAutoHyphens/>
              <w:autoSpaceDN/>
              <w:spacing w:line="276"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船舶用固定火灾探测报警系统装置</w:t>
            </w:r>
          </w:p>
          <w:p>
            <w:pPr>
              <w:pStyle w:val="2"/>
              <w:ind w:left="0" w:leftChars="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2"/>
                <w:sz w:val="21"/>
                <w:szCs w:val="21"/>
                <w:lang w:eastAsia="zh-CN" w:bidi="ar"/>
              </w:rPr>
              <w:t>．．．．．．</w:t>
            </w:r>
          </w:p>
        </w:tc>
        <w:tc>
          <w:tcPr>
            <w:tcW w:w="705"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1</w:t>
            </w:r>
          </w:p>
        </w:tc>
        <w:tc>
          <w:tcPr>
            <w:tcW w:w="794"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570" w:type="dxa"/>
            <w:shd w:val="clear" w:color="auto" w:fill="auto"/>
            <w:noWrap/>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10</w:t>
            </w:r>
          </w:p>
        </w:tc>
        <w:tc>
          <w:tcPr>
            <w:tcW w:w="1390"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防火与灭火相关知识挂图</w:t>
            </w:r>
          </w:p>
        </w:tc>
        <w:tc>
          <w:tcPr>
            <w:tcW w:w="6795" w:type="dxa"/>
            <w:shd w:val="clear" w:color="auto" w:fill="auto"/>
            <w:noWrap w:val="0"/>
            <w:tcMar>
              <w:top w:w="15" w:type="dxa"/>
              <w:left w:w="15" w:type="dxa"/>
              <w:right w:w="15" w:type="dxa"/>
            </w:tcMar>
            <w:vAlign w:val="center"/>
          </w:tcPr>
          <w:p>
            <w:pPr>
              <w:widowControl/>
              <w:suppressAutoHyphens/>
              <w:autoSpaceDN/>
              <w:spacing w:line="276" w:lineRule="auto"/>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防火与灭火相关知识挂图，防火控制图、应变部署表等</w:t>
            </w:r>
          </w:p>
          <w:p>
            <w:pPr>
              <w:widowControl/>
              <w:suppressAutoHyphens/>
              <w:autoSpaceDN/>
              <w:spacing w:line="276" w:lineRule="auto"/>
              <w:jc w:val="left"/>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lang w:eastAsia="zh-CN" w:bidi="ar"/>
              </w:rPr>
              <w:t>．．．．．．</w:t>
            </w:r>
          </w:p>
        </w:tc>
        <w:tc>
          <w:tcPr>
            <w:tcW w:w="705"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1</w:t>
            </w:r>
          </w:p>
        </w:tc>
        <w:tc>
          <w:tcPr>
            <w:tcW w:w="794"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70" w:type="dxa"/>
            <w:shd w:val="clear" w:color="auto" w:fill="auto"/>
            <w:noWrap/>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11</w:t>
            </w:r>
          </w:p>
        </w:tc>
        <w:tc>
          <w:tcPr>
            <w:tcW w:w="1390"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救生衣</w:t>
            </w:r>
          </w:p>
        </w:tc>
        <w:tc>
          <w:tcPr>
            <w:tcW w:w="6795" w:type="dxa"/>
            <w:shd w:val="clear" w:color="auto" w:fill="auto"/>
            <w:noWrap w:val="0"/>
            <w:tcMar>
              <w:top w:w="15" w:type="dxa"/>
              <w:left w:w="15" w:type="dxa"/>
              <w:right w:w="15" w:type="dxa"/>
            </w:tcMar>
            <w:vAlign w:val="center"/>
          </w:tcPr>
          <w:p>
            <w:pPr>
              <w:widowControl/>
              <w:suppressAutoHyphens/>
              <w:autoSpaceDN/>
              <w:spacing w:line="276" w:lineRule="auto"/>
              <w:jc w:val="left"/>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材料：防水牛津涤纶布</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2"/>
                <w:sz w:val="21"/>
                <w:szCs w:val="21"/>
                <w:lang w:eastAsia="zh-CN" w:bidi="ar"/>
              </w:rPr>
              <w:t>．．．．．．</w:t>
            </w:r>
          </w:p>
        </w:tc>
        <w:tc>
          <w:tcPr>
            <w:tcW w:w="705"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22</w:t>
            </w:r>
          </w:p>
        </w:tc>
        <w:tc>
          <w:tcPr>
            <w:tcW w:w="794"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5" w:hRule="atLeast"/>
          <w:jc w:val="center"/>
        </w:trPr>
        <w:tc>
          <w:tcPr>
            <w:tcW w:w="570" w:type="dxa"/>
            <w:shd w:val="clear" w:color="auto" w:fill="auto"/>
            <w:noWrap/>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12</w:t>
            </w:r>
          </w:p>
        </w:tc>
        <w:tc>
          <w:tcPr>
            <w:tcW w:w="1390"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救生圈</w:t>
            </w:r>
          </w:p>
        </w:tc>
        <w:tc>
          <w:tcPr>
            <w:tcW w:w="6795" w:type="dxa"/>
            <w:shd w:val="clear" w:color="auto" w:fill="auto"/>
            <w:noWrap w:val="0"/>
            <w:tcMar>
              <w:top w:w="15" w:type="dxa"/>
              <w:left w:w="15" w:type="dxa"/>
              <w:right w:w="15" w:type="dxa"/>
            </w:tcMar>
            <w:vAlign w:val="center"/>
          </w:tcPr>
          <w:p>
            <w:pPr>
              <w:widowControl/>
              <w:suppressAutoHyphens/>
              <w:autoSpaceDN/>
              <w:spacing w:line="276" w:lineRule="auto"/>
              <w:jc w:val="left"/>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船用专业救生圈；</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2"/>
                <w:sz w:val="21"/>
                <w:szCs w:val="21"/>
                <w:lang w:eastAsia="zh-CN" w:bidi="ar"/>
              </w:rPr>
              <w:t>．．．．．．</w:t>
            </w:r>
          </w:p>
        </w:tc>
        <w:tc>
          <w:tcPr>
            <w:tcW w:w="705"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5</w:t>
            </w:r>
          </w:p>
        </w:tc>
        <w:tc>
          <w:tcPr>
            <w:tcW w:w="794"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5" w:hRule="atLeast"/>
          <w:jc w:val="center"/>
        </w:trPr>
        <w:tc>
          <w:tcPr>
            <w:tcW w:w="570" w:type="dxa"/>
            <w:shd w:val="clear" w:color="auto" w:fill="auto"/>
            <w:noWrap/>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13</w:t>
            </w:r>
          </w:p>
        </w:tc>
        <w:tc>
          <w:tcPr>
            <w:tcW w:w="1390"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个人求生技能相关知识挂图</w:t>
            </w:r>
          </w:p>
        </w:tc>
        <w:tc>
          <w:tcPr>
            <w:tcW w:w="6795" w:type="dxa"/>
            <w:shd w:val="clear" w:color="auto" w:fill="auto"/>
            <w:noWrap w:val="0"/>
            <w:tcMar>
              <w:top w:w="15" w:type="dxa"/>
              <w:left w:w="15" w:type="dxa"/>
              <w:right w:w="15" w:type="dxa"/>
            </w:tcMar>
            <w:vAlign w:val="center"/>
          </w:tcPr>
          <w:p>
            <w:pPr>
              <w:widowControl/>
              <w:suppressAutoHyphens/>
              <w:autoSpaceDN/>
              <w:spacing w:line="276"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学校安全挂图 防灾减灾宣传画 防溺水避灾自救</w:t>
            </w:r>
          </w:p>
          <w:p>
            <w:pPr>
              <w:pStyle w:val="2"/>
              <w:ind w:left="0" w:leftChars="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2"/>
                <w:sz w:val="21"/>
                <w:szCs w:val="21"/>
                <w:lang w:eastAsia="zh-CN" w:bidi="ar"/>
              </w:rPr>
              <w:t>．．．．．．</w:t>
            </w:r>
          </w:p>
        </w:tc>
        <w:tc>
          <w:tcPr>
            <w:tcW w:w="705"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1</w:t>
            </w:r>
          </w:p>
        </w:tc>
        <w:tc>
          <w:tcPr>
            <w:tcW w:w="794"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570" w:type="dxa"/>
            <w:shd w:val="clear" w:color="auto" w:fill="auto"/>
            <w:noWrap/>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14</w:t>
            </w:r>
          </w:p>
        </w:tc>
        <w:tc>
          <w:tcPr>
            <w:tcW w:w="1390"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急救药箱</w:t>
            </w:r>
          </w:p>
        </w:tc>
        <w:tc>
          <w:tcPr>
            <w:tcW w:w="6795" w:type="dxa"/>
            <w:shd w:val="clear" w:color="auto" w:fill="auto"/>
            <w:noWrap w:val="0"/>
            <w:tcMar>
              <w:top w:w="15" w:type="dxa"/>
              <w:left w:w="15" w:type="dxa"/>
              <w:right w:w="15" w:type="dxa"/>
            </w:tcMar>
            <w:vAlign w:val="center"/>
          </w:tcPr>
          <w:p>
            <w:pPr>
              <w:widowControl/>
              <w:suppressAutoHyphens/>
              <w:autoSpaceDN/>
              <w:spacing w:line="276" w:lineRule="auto"/>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内科型和外科型各一个，配备急救药品和器械</w:t>
            </w:r>
          </w:p>
          <w:p>
            <w:pPr>
              <w:widowControl/>
              <w:suppressAutoHyphens/>
              <w:autoSpaceDN/>
              <w:spacing w:line="276" w:lineRule="auto"/>
              <w:jc w:val="left"/>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lang w:eastAsia="zh-CN" w:bidi="ar"/>
              </w:rPr>
              <w:t>．．．．．．</w:t>
            </w:r>
          </w:p>
        </w:tc>
        <w:tc>
          <w:tcPr>
            <w:tcW w:w="705"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2</w:t>
            </w:r>
          </w:p>
        </w:tc>
        <w:tc>
          <w:tcPr>
            <w:tcW w:w="794"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0" w:hRule="atLeast"/>
          <w:jc w:val="center"/>
        </w:trPr>
        <w:tc>
          <w:tcPr>
            <w:tcW w:w="570" w:type="dxa"/>
            <w:shd w:val="clear" w:color="auto" w:fill="auto"/>
            <w:noWrap/>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15</w:t>
            </w:r>
          </w:p>
        </w:tc>
        <w:tc>
          <w:tcPr>
            <w:tcW w:w="1390"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听诊器</w:t>
            </w:r>
          </w:p>
        </w:tc>
        <w:tc>
          <w:tcPr>
            <w:tcW w:w="6795" w:type="dxa"/>
            <w:shd w:val="clear" w:color="auto" w:fill="auto"/>
            <w:noWrap w:val="0"/>
            <w:tcMar>
              <w:top w:w="15" w:type="dxa"/>
              <w:left w:w="15" w:type="dxa"/>
              <w:right w:w="15" w:type="dxa"/>
            </w:tcMar>
            <w:vAlign w:val="center"/>
          </w:tcPr>
          <w:p>
            <w:pPr>
              <w:widowControl/>
              <w:suppressAutoHyphens/>
              <w:autoSpaceDN/>
              <w:spacing w:line="276" w:lineRule="auto"/>
              <w:jc w:val="left"/>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听诊器：单用型</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2"/>
                <w:sz w:val="21"/>
                <w:szCs w:val="21"/>
                <w:lang w:eastAsia="zh-CN" w:bidi="ar"/>
              </w:rPr>
              <w:t>．．．．．．</w:t>
            </w:r>
          </w:p>
        </w:tc>
        <w:tc>
          <w:tcPr>
            <w:tcW w:w="705"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10</w:t>
            </w:r>
          </w:p>
        </w:tc>
        <w:tc>
          <w:tcPr>
            <w:tcW w:w="794"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0" w:hRule="atLeast"/>
          <w:jc w:val="center"/>
        </w:trPr>
        <w:tc>
          <w:tcPr>
            <w:tcW w:w="570" w:type="dxa"/>
            <w:shd w:val="clear" w:color="auto" w:fill="auto"/>
            <w:noWrap/>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16</w:t>
            </w:r>
          </w:p>
        </w:tc>
        <w:tc>
          <w:tcPr>
            <w:tcW w:w="1390"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血压计</w:t>
            </w:r>
          </w:p>
        </w:tc>
        <w:tc>
          <w:tcPr>
            <w:tcW w:w="6795" w:type="dxa"/>
            <w:shd w:val="clear" w:color="auto" w:fill="auto"/>
            <w:noWrap w:val="0"/>
            <w:tcMar>
              <w:top w:w="15" w:type="dxa"/>
              <w:left w:w="15" w:type="dxa"/>
              <w:right w:w="15" w:type="dxa"/>
            </w:tcMar>
            <w:vAlign w:val="center"/>
          </w:tcPr>
          <w:p>
            <w:pPr>
              <w:widowControl/>
              <w:suppressAutoHyphens/>
              <w:autoSpaceDN/>
              <w:spacing w:line="276" w:lineRule="auto"/>
              <w:jc w:val="left"/>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测量范围0-300mmHg(0-10kpa)</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2"/>
                <w:sz w:val="21"/>
                <w:szCs w:val="21"/>
                <w:lang w:eastAsia="zh-CN" w:bidi="ar"/>
              </w:rPr>
              <w:t>．．．．．．</w:t>
            </w:r>
          </w:p>
        </w:tc>
        <w:tc>
          <w:tcPr>
            <w:tcW w:w="705"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10</w:t>
            </w:r>
          </w:p>
        </w:tc>
        <w:tc>
          <w:tcPr>
            <w:tcW w:w="794"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5" w:hRule="atLeast"/>
          <w:jc w:val="center"/>
        </w:trPr>
        <w:tc>
          <w:tcPr>
            <w:tcW w:w="570" w:type="dxa"/>
            <w:shd w:val="clear" w:color="auto" w:fill="auto"/>
            <w:noWrap/>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17</w:t>
            </w:r>
          </w:p>
        </w:tc>
        <w:tc>
          <w:tcPr>
            <w:tcW w:w="1390"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体温计</w:t>
            </w:r>
          </w:p>
        </w:tc>
        <w:tc>
          <w:tcPr>
            <w:tcW w:w="6795" w:type="dxa"/>
            <w:shd w:val="clear" w:color="auto" w:fill="auto"/>
            <w:noWrap w:val="0"/>
            <w:tcMar>
              <w:top w:w="15" w:type="dxa"/>
              <w:left w:w="15" w:type="dxa"/>
              <w:right w:w="15" w:type="dxa"/>
            </w:tcMar>
            <w:vAlign w:val="center"/>
          </w:tcPr>
          <w:p>
            <w:pPr>
              <w:widowControl/>
              <w:suppressAutoHyphens/>
              <w:autoSpaceDN/>
              <w:spacing w:line="276" w:lineRule="auto"/>
              <w:jc w:val="left"/>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内标式水银玻璃体温计</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2"/>
                <w:sz w:val="21"/>
                <w:szCs w:val="21"/>
                <w:lang w:eastAsia="zh-CN" w:bidi="ar"/>
              </w:rPr>
              <w:t>．．．．．．</w:t>
            </w:r>
          </w:p>
        </w:tc>
        <w:tc>
          <w:tcPr>
            <w:tcW w:w="705"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10</w:t>
            </w:r>
          </w:p>
        </w:tc>
        <w:tc>
          <w:tcPr>
            <w:tcW w:w="794"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0" w:hRule="atLeast"/>
          <w:jc w:val="center"/>
        </w:trPr>
        <w:tc>
          <w:tcPr>
            <w:tcW w:w="570" w:type="dxa"/>
            <w:shd w:val="clear" w:color="auto" w:fill="auto"/>
            <w:noWrap/>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18</w:t>
            </w:r>
          </w:p>
        </w:tc>
        <w:tc>
          <w:tcPr>
            <w:tcW w:w="1390"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手电筒</w:t>
            </w:r>
          </w:p>
        </w:tc>
        <w:tc>
          <w:tcPr>
            <w:tcW w:w="6795" w:type="dxa"/>
            <w:shd w:val="clear" w:color="auto" w:fill="auto"/>
            <w:noWrap w:val="0"/>
            <w:tcMar>
              <w:top w:w="15" w:type="dxa"/>
              <w:left w:w="15" w:type="dxa"/>
              <w:right w:w="15" w:type="dxa"/>
            </w:tcMar>
            <w:vAlign w:val="center"/>
          </w:tcPr>
          <w:p>
            <w:pPr>
              <w:widowControl/>
              <w:suppressAutoHyphens/>
              <w:autoSpaceDN/>
              <w:spacing w:line="276"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额定电压4.2V</w:t>
            </w:r>
          </w:p>
          <w:p>
            <w:pPr>
              <w:pStyle w:val="2"/>
              <w:ind w:left="0" w:leftChars="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2"/>
                <w:sz w:val="21"/>
                <w:szCs w:val="21"/>
                <w:lang w:eastAsia="zh-CN" w:bidi="ar"/>
              </w:rPr>
              <w:t>．．．．．．</w:t>
            </w:r>
          </w:p>
        </w:tc>
        <w:tc>
          <w:tcPr>
            <w:tcW w:w="705"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10</w:t>
            </w:r>
          </w:p>
        </w:tc>
        <w:tc>
          <w:tcPr>
            <w:tcW w:w="794"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jc w:val="center"/>
        </w:trPr>
        <w:tc>
          <w:tcPr>
            <w:tcW w:w="570" w:type="dxa"/>
            <w:shd w:val="clear" w:color="auto" w:fill="auto"/>
            <w:noWrap/>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19</w:t>
            </w:r>
          </w:p>
        </w:tc>
        <w:tc>
          <w:tcPr>
            <w:tcW w:w="1390"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心肺复苏模拟人</w:t>
            </w:r>
          </w:p>
        </w:tc>
        <w:tc>
          <w:tcPr>
            <w:tcW w:w="6795" w:type="dxa"/>
            <w:shd w:val="clear" w:color="auto" w:fill="auto"/>
            <w:noWrap w:val="0"/>
            <w:tcMar>
              <w:top w:w="15" w:type="dxa"/>
              <w:left w:w="15" w:type="dxa"/>
              <w:right w:w="15" w:type="dxa"/>
            </w:tcMar>
            <w:vAlign w:val="center"/>
          </w:tcPr>
          <w:p>
            <w:pPr>
              <w:widowControl/>
              <w:suppressAutoHyphens/>
              <w:autoSpaceDN/>
              <w:spacing w:line="276" w:lineRule="auto"/>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心肺复苏操作模拟人标准套配置：</w:t>
            </w:r>
          </w:p>
          <w:p>
            <w:pPr>
              <w:widowControl/>
              <w:suppressAutoHyphens/>
              <w:autoSpaceDN/>
              <w:spacing w:line="276" w:lineRule="auto"/>
              <w:jc w:val="left"/>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lang w:eastAsia="zh-CN" w:bidi="ar"/>
              </w:rPr>
              <w:t>．．．．．．</w:t>
            </w:r>
          </w:p>
        </w:tc>
        <w:tc>
          <w:tcPr>
            <w:tcW w:w="705"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2</w:t>
            </w:r>
          </w:p>
        </w:tc>
        <w:tc>
          <w:tcPr>
            <w:tcW w:w="794"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570" w:type="dxa"/>
            <w:shd w:val="clear" w:color="auto" w:fill="auto"/>
            <w:noWrap/>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20</w:t>
            </w:r>
          </w:p>
        </w:tc>
        <w:tc>
          <w:tcPr>
            <w:tcW w:w="1390"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卫生知识挂图</w:t>
            </w:r>
          </w:p>
        </w:tc>
        <w:tc>
          <w:tcPr>
            <w:tcW w:w="6795" w:type="dxa"/>
            <w:shd w:val="clear" w:color="auto" w:fill="auto"/>
            <w:noWrap w:val="0"/>
            <w:tcMar>
              <w:top w:w="15" w:type="dxa"/>
              <w:left w:w="15" w:type="dxa"/>
              <w:right w:w="15" w:type="dxa"/>
            </w:tcMar>
            <w:vAlign w:val="center"/>
          </w:tcPr>
          <w:p>
            <w:pPr>
              <w:widowControl/>
              <w:suppressAutoHyphens/>
              <w:autoSpaceDN/>
              <w:spacing w:line="276"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人体结构挂图、心肺复苏挂图基本止血包各一套</w:t>
            </w:r>
          </w:p>
          <w:p>
            <w:pPr>
              <w:pStyle w:val="2"/>
              <w:ind w:left="0" w:leftChars="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2"/>
                <w:sz w:val="21"/>
                <w:szCs w:val="21"/>
                <w:lang w:eastAsia="zh-CN" w:bidi="ar"/>
              </w:rPr>
              <w:t>．．．．．．</w:t>
            </w:r>
          </w:p>
        </w:tc>
        <w:tc>
          <w:tcPr>
            <w:tcW w:w="705"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1</w:t>
            </w:r>
          </w:p>
        </w:tc>
        <w:tc>
          <w:tcPr>
            <w:tcW w:w="794"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570" w:type="dxa"/>
            <w:shd w:val="clear" w:color="auto" w:fill="auto"/>
            <w:noWrap/>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21</w:t>
            </w:r>
          </w:p>
        </w:tc>
        <w:tc>
          <w:tcPr>
            <w:tcW w:w="1390"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船体结构挂图</w:t>
            </w:r>
          </w:p>
        </w:tc>
        <w:tc>
          <w:tcPr>
            <w:tcW w:w="6795" w:type="dxa"/>
            <w:shd w:val="clear" w:color="auto" w:fill="auto"/>
            <w:noWrap w:val="0"/>
            <w:tcMar>
              <w:top w:w="15" w:type="dxa"/>
              <w:left w:w="15" w:type="dxa"/>
              <w:right w:w="15" w:type="dxa"/>
            </w:tcMar>
            <w:vAlign w:val="center"/>
          </w:tcPr>
          <w:p>
            <w:pPr>
              <w:widowControl/>
              <w:suppressAutoHyphens/>
              <w:autoSpaceDN/>
              <w:spacing w:line="276"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散货船、集装箱船、滚装船挂图</w:t>
            </w:r>
          </w:p>
          <w:p>
            <w:pPr>
              <w:pStyle w:val="2"/>
              <w:ind w:left="0" w:leftChars="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2"/>
                <w:sz w:val="21"/>
                <w:szCs w:val="21"/>
                <w:lang w:eastAsia="zh-CN" w:bidi="ar"/>
              </w:rPr>
              <w:t>．．．．．．</w:t>
            </w:r>
          </w:p>
        </w:tc>
        <w:tc>
          <w:tcPr>
            <w:tcW w:w="705"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1</w:t>
            </w:r>
          </w:p>
        </w:tc>
        <w:tc>
          <w:tcPr>
            <w:tcW w:w="794"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570" w:type="dxa"/>
            <w:shd w:val="clear" w:color="auto" w:fill="auto"/>
            <w:noWrap/>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22</w:t>
            </w:r>
          </w:p>
        </w:tc>
        <w:tc>
          <w:tcPr>
            <w:tcW w:w="1390"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常用绳结样式挂图</w:t>
            </w:r>
          </w:p>
        </w:tc>
        <w:tc>
          <w:tcPr>
            <w:tcW w:w="6795" w:type="dxa"/>
            <w:shd w:val="clear" w:color="auto" w:fill="auto"/>
            <w:noWrap w:val="0"/>
            <w:tcMar>
              <w:top w:w="15" w:type="dxa"/>
              <w:left w:w="15" w:type="dxa"/>
              <w:right w:w="15" w:type="dxa"/>
            </w:tcMar>
            <w:vAlign w:val="center"/>
          </w:tcPr>
          <w:p>
            <w:pPr>
              <w:widowControl/>
              <w:suppressAutoHyphens/>
              <w:autoSpaceDN/>
              <w:spacing w:line="276"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能够满足训练要求，绳结样式挂图至少包括基本绳结教学的项目内容。</w:t>
            </w:r>
          </w:p>
          <w:p>
            <w:pPr>
              <w:pStyle w:val="2"/>
              <w:ind w:left="0" w:leftChars="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2"/>
                <w:sz w:val="21"/>
                <w:szCs w:val="21"/>
                <w:lang w:eastAsia="zh-CN" w:bidi="ar"/>
              </w:rPr>
              <w:t>．．．．．．</w:t>
            </w:r>
          </w:p>
        </w:tc>
        <w:tc>
          <w:tcPr>
            <w:tcW w:w="705"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1</w:t>
            </w:r>
          </w:p>
        </w:tc>
        <w:tc>
          <w:tcPr>
            <w:tcW w:w="794"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4" w:hRule="atLeast"/>
          <w:jc w:val="center"/>
        </w:trPr>
        <w:tc>
          <w:tcPr>
            <w:tcW w:w="570" w:type="dxa"/>
            <w:shd w:val="clear" w:color="auto" w:fill="auto"/>
            <w:noWrap/>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23</w:t>
            </w:r>
          </w:p>
        </w:tc>
        <w:tc>
          <w:tcPr>
            <w:tcW w:w="1390"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各类钢丝绳、纤维及插接工具</w:t>
            </w:r>
          </w:p>
        </w:tc>
        <w:tc>
          <w:tcPr>
            <w:tcW w:w="6795" w:type="dxa"/>
            <w:shd w:val="clear" w:color="auto" w:fill="auto"/>
            <w:noWrap w:val="0"/>
            <w:tcMar>
              <w:top w:w="15" w:type="dxa"/>
              <w:left w:w="15" w:type="dxa"/>
              <w:right w:w="15" w:type="dxa"/>
            </w:tcMar>
            <w:vAlign w:val="center"/>
          </w:tcPr>
          <w:p>
            <w:pPr>
              <w:widowControl/>
              <w:suppressAutoHyphens/>
              <w:autoSpaceDN/>
              <w:spacing w:line="276" w:lineRule="auto"/>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常用绳结、插接三股化纤绳、六股化纤绳、编结样式1套</w:t>
            </w:r>
          </w:p>
          <w:p>
            <w:pPr>
              <w:widowControl/>
              <w:suppressAutoHyphens/>
              <w:autoSpaceDN/>
              <w:spacing w:line="276" w:lineRule="auto"/>
              <w:jc w:val="left"/>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lang w:eastAsia="zh-CN" w:bidi="ar"/>
              </w:rPr>
              <w:t>．．．．．．</w:t>
            </w:r>
          </w:p>
        </w:tc>
        <w:tc>
          <w:tcPr>
            <w:tcW w:w="705"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1</w:t>
            </w:r>
          </w:p>
        </w:tc>
        <w:tc>
          <w:tcPr>
            <w:tcW w:w="794"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0" w:hRule="atLeast"/>
          <w:jc w:val="center"/>
        </w:trPr>
        <w:tc>
          <w:tcPr>
            <w:tcW w:w="570" w:type="dxa"/>
            <w:shd w:val="clear" w:color="auto" w:fill="auto"/>
            <w:noWrap/>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24</w:t>
            </w:r>
          </w:p>
        </w:tc>
        <w:tc>
          <w:tcPr>
            <w:tcW w:w="1390"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堵漏器材</w:t>
            </w:r>
          </w:p>
        </w:tc>
        <w:tc>
          <w:tcPr>
            <w:tcW w:w="6795" w:type="dxa"/>
            <w:shd w:val="clear" w:color="auto" w:fill="auto"/>
            <w:noWrap w:val="0"/>
            <w:tcMar>
              <w:top w:w="15" w:type="dxa"/>
              <w:left w:w="15" w:type="dxa"/>
              <w:right w:w="15" w:type="dxa"/>
            </w:tcMar>
            <w:vAlign w:val="center"/>
          </w:tcPr>
          <w:p>
            <w:pPr>
              <w:widowControl/>
              <w:suppressAutoHyphens/>
              <w:autoSpaceDN/>
              <w:spacing w:line="276" w:lineRule="auto"/>
              <w:jc w:val="left"/>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符合船用标准</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2"/>
                <w:sz w:val="21"/>
                <w:szCs w:val="21"/>
                <w:lang w:eastAsia="zh-CN" w:bidi="ar"/>
              </w:rPr>
              <w:t>．．．．．．</w:t>
            </w:r>
          </w:p>
        </w:tc>
        <w:tc>
          <w:tcPr>
            <w:tcW w:w="705"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1</w:t>
            </w:r>
          </w:p>
        </w:tc>
        <w:tc>
          <w:tcPr>
            <w:tcW w:w="794"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0" w:hRule="atLeast"/>
          <w:jc w:val="center"/>
        </w:trPr>
        <w:tc>
          <w:tcPr>
            <w:tcW w:w="570" w:type="dxa"/>
            <w:shd w:val="clear" w:color="auto" w:fill="auto"/>
            <w:noWrap/>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25</w:t>
            </w:r>
          </w:p>
        </w:tc>
        <w:tc>
          <w:tcPr>
            <w:tcW w:w="1390"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影像资料</w:t>
            </w:r>
          </w:p>
        </w:tc>
        <w:tc>
          <w:tcPr>
            <w:tcW w:w="6795" w:type="dxa"/>
            <w:shd w:val="clear" w:color="auto" w:fill="auto"/>
            <w:noWrap w:val="0"/>
            <w:tcMar>
              <w:top w:w="15" w:type="dxa"/>
              <w:left w:w="15" w:type="dxa"/>
              <w:right w:w="15" w:type="dxa"/>
            </w:tcMar>
            <w:vAlign w:val="center"/>
          </w:tcPr>
          <w:p>
            <w:pPr>
              <w:widowControl/>
              <w:suppressAutoHyphens/>
              <w:autoSpaceDN/>
              <w:spacing w:line="276"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能够体现船舶安全作业和管理过程的视频，船舶常见工伤事故资料</w:t>
            </w:r>
          </w:p>
          <w:p>
            <w:pPr>
              <w:pStyle w:val="2"/>
              <w:ind w:left="0" w:leftChars="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2"/>
                <w:sz w:val="21"/>
                <w:szCs w:val="21"/>
                <w:lang w:eastAsia="zh-CN" w:bidi="ar"/>
              </w:rPr>
              <w:t>．．．．．．</w:t>
            </w:r>
          </w:p>
        </w:tc>
        <w:tc>
          <w:tcPr>
            <w:tcW w:w="705"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2</w:t>
            </w:r>
          </w:p>
        </w:tc>
        <w:tc>
          <w:tcPr>
            <w:tcW w:w="794"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570" w:type="dxa"/>
            <w:shd w:val="clear" w:color="auto" w:fill="auto"/>
            <w:noWrap/>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26</w:t>
            </w:r>
          </w:p>
        </w:tc>
        <w:tc>
          <w:tcPr>
            <w:tcW w:w="1390"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人体结构模型和骨骼模型</w:t>
            </w:r>
          </w:p>
        </w:tc>
        <w:tc>
          <w:tcPr>
            <w:tcW w:w="6795" w:type="dxa"/>
            <w:shd w:val="clear" w:color="auto" w:fill="auto"/>
            <w:noWrap w:val="0"/>
            <w:tcMar>
              <w:top w:w="15" w:type="dxa"/>
              <w:left w:w="15" w:type="dxa"/>
              <w:right w:w="15" w:type="dxa"/>
            </w:tcMar>
            <w:vAlign w:val="center"/>
          </w:tcPr>
          <w:p>
            <w:pPr>
              <w:widowControl/>
              <w:suppressAutoHyphens/>
              <w:autoSpaceDN/>
              <w:spacing w:line="276"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85cm，人体骷骼带心脏血管模型</w:t>
            </w:r>
          </w:p>
          <w:p>
            <w:pPr>
              <w:pStyle w:val="2"/>
              <w:ind w:left="0" w:leftChars="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2"/>
                <w:sz w:val="21"/>
                <w:szCs w:val="21"/>
                <w:lang w:eastAsia="zh-CN" w:bidi="ar"/>
              </w:rPr>
              <w:t>．．．．．．</w:t>
            </w:r>
          </w:p>
        </w:tc>
        <w:tc>
          <w:tcPr>
            <w:tcW w:w="705"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1</w:t>
            </w:r>
          </w:p>
        </w:tc>
        <w:tc>
          <w:tcPr>
            <w:tcW w:w="794"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0" w:hRule="atLeast"/>
          <w:jc w:val="center"/>
        </w:trPr>
        <w:tc>
          <w:tcPr>
            <w:tcW w:w="570" w:type="dxa"/>
            <w:shd w:val="clear" w:color="auto" w:fill="auto"/>
            <w:noWrap/>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27</w:t>
            </w:r>
          </w:p>
        </w:tc>
        <w:tc>
          <w:tcPr>
            <w:tcW w:w="1390"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人体解剖挂图</w:t>
            </w:r>
          </w:p>
        </w:tc>
        <w:tc>
          <w:tcPr>
            <w:tcW w:w="6795" w:type="dxa"/>
            <w:shd w:val="clear" w:color="auto" w:fill="auto"/>
            <w:noWrap w:val="0"/>
            <w:tcMar>
              <w:top w:w="15" w:type="dxa"/>
              <w:left w:w="15" w:type="dxa"/>
              <w:right w:w="15" w:type="dxa"/>
            </w:tcMar>
            <w:vAlign w:val="center"/>
          </w:tcPr>
          <w:p>
            <w:pPr>
              <w:widowControl/>
              <w:suppressAutoHyphens/>
              <w:autoSpaceDN/>
              <w:spacing w:line="276"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人体八大系统、骨骼血管分布解剖挂图，高1m宽53厘cm，157g铜版纸覆光膜</w:t>
            </w:r>
          </w:p>
          <w:p>
            <w:pPr>
              <w:pStyle w:val="2"/>
              <w:ind w:left="0" w:leftChars="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2"/>
                <w:sz w:val="21"/>
                <w:szCs w:val="21"/>
                <w:lang w:eastAsia="zh-CN" w:bidi="ar"/>
              </w:rPr>
              <w:t>．．．．．．</w:t>
            </w:r>
          </w:p>
        </w:tc>
        <w:tc>
          <w:tcPr>
            <w:tcW w:w="705"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1</w:t>
            </w:r>
          </w:p>
        </w:tc>
        <w:tc>
          <w:tcPr>
            <w:tcW w:w="794"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1" w:hRule="atLeast"/>
          <w:jc w:val="center"/>
        </w:trPr>
        <w:tc>
          <w:tcPr>
            <w:tcW w:w="570" w:type="dxa"/>
            <w:shd w:val="clear" w:color="auto" w:fill="auto"/>
            <w:noWrap/>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28</w:t>
            </w:r>
          </w:p>
        </w:tc>
        <w:tc>
          <w:tcPr>
            <w:tcW w:w="1390"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担架</w:t>
            </w:r>
          </w:p>
        </w:tc>
        <w:tc>
          <w:tcPr>
            <w:tcW w:w="6795" w:type="dxa"/>
            <w:shd w:val="clear" w:color="auto" w:fill="auto"/>
            <w:noWrap w:val="0"/>
            <w:tcMar>
              <w:top w:w="15" w:type="dxa"/>
              <w:left w:w="15" w:type="dxa"/>
              <w:right w:w="15" w:type="dxa"/>
            </w:tcMar>
            <w:vAlign w:val="center"/>
          </w:tcPr>
          <w:p>
            <w:pPr>
              <w:widowControl/>
              <w:suppressAutoHyphens/>
              <w:autoSpaceDN/>
              <w:spacing w:line="276" w:lineRule="auto"/>
              <w:jc w:val="left"/>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适合船舶医疗专用担架</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2"/>
                <w:sz w:val="21"/>
                <w:szCs w:val="21"/>
                <w:lang w:eastAsia="zh-CN" w:bidi="ar"/>
              </w:rPr>
              <w:t>．．．．．．</w:t>
            </w:r>
          </w:p>
        </w:tc>
        <w:tc>
          <w:tcPr>
            <w:tcW w:w="705"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1</w:t>
            </w:r>
          </w:p>
        </w:tc>
        <w:tc>
          <w:tcPr>
            <w:tcW w:w="794"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570" w:type="dxa"/>
            <w:shd w:val="clear" w:color="auto" w:fill="auto"/>
            <w:noWrap/>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29</w:t>
            </w:r>
          </w:p>
        </w:tc>
        <w:tc>
          <w:tcPr>
            <w:tcW w:w="1390"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简易呼吸器</w:t>
            </w:r>
          </w:p>
        </w:tc>
        <w:tc>
          <w:tcPr>
            <w:tcW w:w="6795" w:type="dxa"/>
            <w:shd w:val="clear" w:color="auto" w:fill="auto"/>
            <w:noWrap w:val="0"/>
            <w:tcMar>
              <w:top w:w="15" w:type="dxa"/>
              <w:left w:w="15" w:type="dxa"/>
              <w:right w:w="15" w:type="dxa"/>
            </w:tcMar>
            <w:vAlign w:val="center"/>
          </w:tcPr>
          <w:p>
            <w:pPr>
              <w:widowControl/>
              <w:suppressAutoHyphens/>
              <w:autoSpaceDN/>
              <w:spacing w:line="276" w:lineRule="auto"/>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包括氧气管、球囊、面罩；材质为蓝色PVC；</w:t>
            </w:r>
          </w:p>
          <w:p>
            <w:pPr>
              <w:widowControl/>
              <w:suppressAutoHyphens/>
              <w:autoSpaceDN/>
              <w:spacing w:line="276" w:lineRule="auto"/>
              <w:jc w:val="left"/>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lang w:eastAsia="zh-CN" w:bidi="ar"/>
              </w:rPr>
              <w:t>．．．．．．</w:t>
            </w:r>
          </w:p>
        </w:tc>
        <w:tc>
          <w:tcPr>
            <w:tcW w:w="705"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1</w:t>
            </w:r>
          </w:p>
        </w:tc>
        <w:tc>
          <w:tcPr>
            <w:tcW w:w="794"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2" w:hRule="atLeast"/>
          <w:jc w:val="center"/>
        </w:trPr>
        <w:tc>
          <w:tcPr>
            <w:tcW w:w="570" w:type="dxa"/>
            <w:shd w:val="clear" w:color="auto" w:fill="auto"/>
            <w:noWrap/>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30</w:t>
            </w:r>
          </w:p>
        </w:tc>
        <w:tc>
          <w:tcPr>
            <w:tcW w:w="1390"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0"/>
                <w:sz w:val="21"/>
                <w:szCs w:val="21"/>
                <w:lang w:bidi="ar"/>
              </w:rPr>
              <w:t>药品和器械</w:t>
            </w:r>
          </w:p>
        </w:tc>
        <w:tc>
          <w:tcPr>
            <w:tcW w:w="6795" w:type="dxa"/>
            <w:shd w:val="clear" w:color="auto" w:fill="auto"/>
            <w:noWrap w:val="0"/>
            <w:tcMar>
              <w:top w:w="15" w:type="dxa"/>
              <w:left w:w="15" w:type="dxa"/>
              <w:right w:w="15" w:type="dxa"/>
            </w:tcMar>
            <w:vAlign w:val="center"/>
          </w:tcPr>
          <w:p>
            <w:pPr>
              <w:widowControl/>
              <w:suppressAutoHyphens/>
              <w:autoSpaceDN/>
              <w:spacing w:line="276" w:lineRule="auto"/>
              <w:jc w:val="left"/>
              <w:textAlignment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0"/>
                <w:sz w:val="21"/>
                <w:szCs w:val="21"/>
                <w:lang w:bidi="ar"/>
              </w:rPr>
              <w:t>1.药品：呼吸系统、循环系统、消化系统等常用药品；</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color w:val="000000"/>
                <w:kern w:val="2"/>
                <w:sz w:val="21"/>
                <w:szCs w:val="21"/>
                <w:lang w:eastAsia="zh-CN" w:bidi="ar"/>
              </w:rPr>
              <w:t>．．．．．．</w:t>
            </w:r>
          </w:p>
        </w:tc>
        <w:tc>
          <w:tcPr>
            <w:tcW w:w="705"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1</w:t>
            </w:r>
          </w:p>
        </w:tc>
        <w:tc>
          <w:tcPr>
            <w:tcW w:w="794"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70" w:type="dxa"/>
            <w:shd w:val="clear" w:color="auto" w:fill="auto"/>
            <w:noWrap/>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31</w:t>
            </w:r>
          </w:p>
        </w:tc>
        <w:tc>
          <w:tcPr>
            <w:tcW w:w="1390"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船员培训书籍</w:t>
            </w:r>
          </w:p>
        </w:tc>
        <w:tc>
          <w:tcPr>
            <w:tcW w:w="6795" w:type="dxa"/>
            <w:shd w:val="clear" w:color="auto" w:fill="auto"/>
            <w:noWrap/>
            <w:tcMar>
              <w:top w:w="15" w:type="dxa"/>
              <w:left w:w="15" w:type="dxa"/>
              <w:right w:w="15" w:type="dxa"/>
            </w:tcMar>
            <w:vAlign w:val="center"/>
          </w:tcPr>
          <w:p>
            <w:pPr>
              <w:widowControl/>
              <w:suppressAutoHyphens/>
              <w:autoSpaceDN/>
              <w:spacing w:line="276"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国际、国内有关法规及技术资料；航海日志、航海图书目录、航标表等。</w:t>
            </w:r>
          </w:p>
          <w:p>
            <w:pPr>
              <w:pStyle w:val="2"/>
              <w:ind w:left="0" w:leftChars="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2"/>
                <w:sz w:val="21"/>
                <w:szCs w:val="21"/>
                <w:lang w:eastAsia="zh-CN" w:bidi="ar"/>
              </w:rPr>
              <w:t>．．．．．．</w:t>
            </w:r>
          </w:p>
        </w:tc>
        <w:tc>
          <w:tcPr>
            <w:tcW w:w="705"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1</w:t>
            </w:r>
          </w:p>
        </w:tc>
        <w:tc>
          <w:tcPr>
            <w:tcW w:w="794"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否</w:t>
            </w:r>
          </w:p>
        </w:tc>
      </w:tr>
    </w:tbl>
    <w:p>
      <w:pPr>
        <w:ind w:firstLine="560" w:firstLineChars="200"/>
        <w:rPr>
          <w:rFonts w:hint="eastAsia" w:ascii="宋体" w:hAnsi="宋体" w:eastAsia="宋体" w:cs="Times New Roman"/>
          <w:color w:val="auto"/>
          <w:sz w:val="28"/>
          <w:szCs w:val="28"/>
        </w:rPr>
      </w:pPr>
    </w:p>
    <w:p>
      <w:pPr>
        <w:ind w:firstLine="560" w:firstLineChars="200"/>
        <w:rPr>
          <w:rFonts w:hint="default" w:ascii="宋体" w:hAnsi="宋体" w:eastAsia="宋体" w:cs="Times New Roman"/>
          <w:color w:val="auto"/>
          <w:sz w:val="28"/>
          <w:szCs w:val="28"/>
          <w:u w:val="single"/>
          <w:lang w:val="en-US" w:eastAsia="zh-CN"/>
        </w:rPr>
      </w:pPr>
      <w:r>
        <w:rPr>
          <w:rFonts w:hint="eastAsia" w:ascii="宋体" w:hAnsi="宋体" w:eastAsia="宋体" w:cs="Times New Roman"/>
          <w:color w:val="auto"/>
          <w:sz w:val="28"/>
          <w:szCs w:val="28"/>
        </w:rPr>
        <w:t>合同履行期限：</w:t>
      </w:r>
      <w:r>
        <w:rPr>
          <w:rFonts w:hint="eastAsia" w:ascii="宋体" w:hAnsi="宋体" w:eastAsia="宋体" w:cs="Times New Roman"/>
          <w:color w:val="auto"/>
          <w:sz w:val="28"/>
          <w:szCs w:val="28"/>
          <w:lang w:val="en-US" w:eastAsia="zh-CN"/>
        </w:rPr>
        <w:t>30天</w:t>
      </w:r>
    </w:p>
    <w:p>
      <w:pPr>
        <w:spacing w:line="360" w:lineRule="auto"/>
        <w:ind w:firstLine="560" w:firstLineChars="200"/>
        <w:rPr>
          <w:rFonts w:ascii="宋体" w:hAnsi="宋体" w:eastAsia="宋体" w:cs="Times New Roman"/>
          <w:color w:val="auto"/>
          <w:sz w:val="28"/>
          <w:szCs w:val="28"/>
        </w:rPr>
      </w:pPr>
      <w:r>
        <w:rPr>
          <w:rFonts w:hint="eastAsia" w:ascii="宋体" w:hAnsi="宋体" w:eastAsia="宋体" w:cs="Times New Roman"/>
          <w:color w:val="auto"/>
          <w:sz w:val="28"/>
          <w:szCs w:val="28"/>
        </w:rPr>
        <w:t>本项目</w:t>
      </w:r>
      <w:r>
        <w:rPr>
          <w:rFonts w:hint="eastAsia" w:ascii="宋体" w:hAnsi="宋体" w:eastAsia="宋体" w:cs="Times New Roman"/>
          <w:color w:val="auto"/>
          <w:sz w:val="28"/>
          <w:szCs w:val="28"/>
          <w:lang w:val="en-US" w:eastAsia="zh-CN"/>
        </w:rPr>
        <w:t>不</w:t>
      </w:r>
      <w:r>
        <w:rPr>
          <w:rFonts w:hint="eastAsia" w:ascii="宋体" w:hAnsi="宋体" w:eastAsia="宋体" w:cs="Times New Roman"/>
          <w:color w:val="auto"/>
          <w:sz w:val="28"/>
          <w:szCs w:val="28"/>
        </w:rPr>
        <w:t>接受联合体投标。</w:t>
      </w:r>
    </w:p>
    <w:p>
      <w:pPr>
        <w:keepNext/>
        <w:keepLines/>
        <w:widowControl w:val="0"/>
        <w:spacing w:before="260" w:after="260" w:line="360" w:lineRule="auto"/>
        <w:jc w:val="both"/>
        <w:outlineLvl w:val="1"/>
        <w:rPr>
          <w:rFonts w:ascii="宋体" w:hAnsi="宋体" w:eastAsia="宋体" w:cs="宋体"/>
          <w:b w:val="0"/>
          <w:bCs/>
          <w:color w:val="auto"/>
          <w:kern w:val="2"/>
          <w:sz w:val="28"/>
          <w:szCs w:val="28"/>
          <w:lang w:val="en-US" w:eastAsia="zh-CN" w:bidi="ar-SA"/>
        </w:rPr>
      </w:pPr>
      <w:bookmarkStart w:id="7" w:name="_Toc28359080"/>
      <w:bookmarkStart w:id="8" w:name="_Toc35393791"/>
      <w:bookmarkStart w:id="9" w:name="_Toc35393622"/>
      <w:bookmarkStart w:id="10" w:name="_Toc28359003"/>
      <w:r>
        <w:rPr>
          <w:rFonts w:hint="eastAsia" w:ascii="宋体" w:hAnsi="宋体" w:eastAsia="宋体" w:cs="宋体"/>
          <w:b w:val="0"/>
          <w:bCs/>
          <w:color w:val="auto"/>
          <w:kern w:val="2"/>
          <w:sz w:val="28"/>
          <w:szCs w:val="28"/>
          <w:lang w:val="en-US" w:eastAsia="zh-CN" w:bidi="ar-SA"/>
        </w:rPr>
        <w:t>二、申请人的资格要求：</w:t>
      </w:r>
      <w:bookmarkEnd w:id="7"/>
      <w:bookmarkEnd w:id="8"/>
      <w:bookmarkEnd w:id="9"/>
      <w:bookmarkEnd w:id="10"/>
    </w:p>
    <w:p>
      <w:pPr>
        <w:ind w:firstLine="560" w:firstLineChars="200"/>
        <w:rPr>
          <w:rFonts w:ascii="宋体" w:hAnsi="宋体" w:eastAsia="宋体" w:cs="Times New Roman"/>
          <w:color w:val="auto"/>
          <w:sz w:val="28"/>
          <w:szCs w:val="28"/>
        </w:rPr>
      </w:pPr>
      <w:bookmarkStart w:id="11" w:name="_Toc28359081"/>
      <w:bookmarkStart w:id="12" w:name="_Toc28359004"/>
      <w:r>
        <w:rPr>
          <w:rFonts w:hint="eastAsia" w:ascii="宋体" w:hAnsi="宋体" w:eastAsia="宋体" w:cs="Times New Roman"/>
          <w:color w:val="auto"/>
          <w:sz w:val="28"/>
          <w:szCs w:val="28"/>
        </w:rPr>
        <w:t>1.满足《中华人民共和国政府采购法》第二十二条规定；</w:t>
      </w:r>
    </w:p>
    <w:p>
      <w:pPr>
        <w:ind w:firstLine="560" w:firstLineChars="200"/>
        <w:rPr>
          <w:rFonts w:ascii="宋体" w:hAnsi="宋体" w:eastAsia="宋体" w:cs="Times New Roman"/>
          <w:color w:val="auto"/>
          <w:sz w:val="28"/>
          <w:szCs w:val="28"/>
        </w:rPr>
      </w:pPr>
      <w:r>
        <w:rPr>
          <w:rFonts w:ascii="宋体" w:hAnsi="宋体" w:eastAsia="宋体" w:cs="Times New Roman"/>
          <w:color w:val="auto"/>
          <w:sz w:val="28"/>
          <w:szCs w:val="28"/>
        </w:rPr>
        <w:t>2</w:t>
      </w:r>
      <w:r>
        <w:rPr>
          <w:rFonts w:hint="eastAsia" w:ascii="宋体" w:hAnsi="宋体" w:eastAsia="宋体" w:cs="Times New Roman"/>
          <w:color w:val="auto"/>
          <w:sz w:val="28"/>
          <w:szCs w:val="28"/>
        </w:rPr>
        <w:t>.落实政府采购政策需满足的资格要求：/</w:t>
      </w:r>
    </w:p>
    <w:p>
      <w:pPr>
        <w:ind w:firstLine="560" w:firstLineChars="200"/>
        <w:rPr>
          <w:rFonts w:ascii="宋体" w:hAnsi="宋体" w:eastAsia="宋体" w:cs="Times New Roman"/>
          <w:i/>
          <w:iCs/>
          <w:color w:val="auto"/>
          <w:sz w:val="28"/>
          <w:szCs w:val="28"/>
          <w:u w:val="single"/>
        </w:rPr>
      </w:pPr>
      <w:r>
        <w:rPr>
          <w:rFonts w:hint="eastAsia" w:ascii="宋体" w:hAnsi="宋体" w:eastAsia="宋体" w:cs="Times New Roman"/>
          <w:color w:val="auto"/>
          <w:sz w:val="28"/>
          <w:szCs w:val="28"/>
        </w:rPr>
        <w:t>3.本项目的特定资格要求：</w:t>
      </w:r>
    </w:p>
    <w:p>
      <w:pPr>
        <w:ind w:firstLine="560" w:firstLineChars="200"/>
        <w:rPr>
          <w:rFonts w:ascii="宋体" w:hAnsi="宋体" w:eastAsia="宋体" w:cs="Times New Roman"/>
          <w:color w:val="auto"/>
          <w:sz w:val="28"/>
          <w:szCs w:val="28"/>
          <w:u w:val="single"/>
        </w:rPr>
      </w:pPr>
      <w:r>
        <w:rPr>
          <w:rFonts w:hint="eastAsia" w:ascii="宋体" w:hAnsi="宋体" w:eastAsia="宋体" w:cs="Times New Roman"/>
          <w:color w:val="auto"/>
          <w:sz w:val="28"/>
          <w:szCs w:val="28"/>
        </w:rPr>
        <w:t>（1）</w:t>
      </w:r>
      <w:r>
        <w:rPr>
          <w:rFonts w:hint="eastAsia" w:ascii="宋体" w:hAnsi="宋体" w:eastAsia="宋体" w:cs="Times New Roman"/>
          <w:color w:val="auto"/>
          <w:sz w:val="28"/>
          <w:szCs w:val="28"/>
          <w:u w:val="single"/>
        </w:rPr>
        <w:t>参加政府采购活动前三年内未被“信用中国”网站及“中国政府采购网”网站列入失信被执行人、重大税收违法案件当事人名单、政府采购严重违法失信行为记录名单的申请人（有上述处罚记录但处罚期已届满的，视为无记录）；</w:t>
      </w:r>
    </w:p>
    <w:p>
      <w:pPr>
        <w:ind w:firstLine="560" w:firstLineChars="200"/>
        <w:rPr>
          <w:rFonts w:ascii="宋体" w:hAnsi="宋体" w:eastAsia="宋体" w:cs="Times New Roman"/>
          <w:color w:val="auto"/>
          <w:sz w:val="28"/>
          <w:szCs w:val="28"/>
          <w:u w:val="single"/>
        </w:rPr>
      </w:pPr>
      <w:r>
        <w:rPr>
          <w:rFonts w:hint="eastAsia" w:ascii="宋体" w:hAnsi="宋体" w:eastAsia="宋体" w:cs="Times New Roman"/>
          <w:color w:val="auto"/>
          <w:sz w:val="28"/>
          <w:szCs w:val="28"/>
        </w:rPr>
        <w:t>（2）</w:t>
      </w:r>
      <w:r>
        <w:rPr>
          <w:rFonts w:hint="eastAsia" w:ascii="宋体" w:hAnsi="宋体" w:eastAsia="宋体" w:cs="Times New Roman"/>
          <w:color w:val="auto"/>
          <w:sz w:val="28"/>
          <w:szCs w:val="28"/>
          <w:u w:val="single"/>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keepNext/>
        <w:keepLines/>
        <w:widowControl w:val="0"/>
        <w:spacing w:before="260" w:after="260" w:line="360" w:lineRule="auto"/>
        <w:jc w:val="both"/>
        <w:outlineLvl w:val="1"/>
        <w:rPr>
          <w:rFonts w:ascii="宋体" w:hAnsi="宋体" w:eastAsia="宋体" w:cs="宋体"/>
          <w:b w:val="0"/>
          <w:bCs/>
          <w:color w:val="auto"/>
          <w:kern w:val="2"/>
          <w:sz w:val="28"/>
          <w:szCs w:val="28"/>
          <w:lang w:val="en-US" w:eastAsia="zh-CN" w:bidi="ar-SA"/>
        </w:rPr>
      </w:pPr>
      <w:bookmarkStart w:id="13" w:name="_Toc35393623"/>
      <w:bookmarkStart w:id="14" w:name="_Toc35393792"/>
      <w:r>
        <w:rPr>
          <w:rFonts w:hint="eastAsia" w:ascii="宋体" w:hAnsi="宋体" w:eastAsia="宋体" w:cs="宋体"/>
          <w:b w:val="0"/>
          <w:bCs/>
          <w:color w:val="auto"/>
          <w:kern w:val="2"/>
          <w:sz w:val="28"/>
          <w:szCs w:val="28"/>
          <w:lang w:val="en-US" w:eastAsia="zh-CN" w:bidi="ar-SA"/>
        </w:rPr>
        <w:t>三、获取招标文件</w:t>
      </w:r>
      <w:bookmarkEnd w:id="11"/>
      <w:bookmarkEnd w:id="12"/>
      <w:bookmarkEnd w:id="13"/>
      <w:bookmarkEnd w:id="14"/>
    </w:p>
    <w:p>
      <w:pPr>
        <w:spacing w:line="360" w:lineRule="auto"/>
        <w:ind w:firstLine="540"/>
        <w:rPr>
          <w:rFonts w:ascii="宋体" w:hAnsi="宋体" w:eastAsia="宋体" w:cs="宋体"/>
          <w:color w:val="auto"/>
          <w:sz w:val="28"/>
          <w:szCs w:val="28"/>
        </w:rPr>
      </w:pPr>
      <w:r>
        <w:rPr>
          <w:rFonts w:hint="eastAsia" w:ascii="宋体" w:hAnsi="宋体" w:eastAsia="宋体" w:cs="宋体"/>
          <w:color w:val="auto"/>
          <w:sz w:val="28"/>
          <w:szCs w:val="28"/>
        </w:rPr>
        <w:t>时间：</w:t>
      </w:r>
      <w:r>
        <w:rPr>
          <w:rFonts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2020</w:t>
      </w:r>
      <w:r>
        <w:rPr>
          <w:rFonts w:hint="eastAsia" w:ascii="宋体" w:hAnsi="宋体" w:eastAsia="宋体" w:cs="宋体"/>
          <w:color w:val="auto"/>
          <w:sz w:val="28"/>
          <w:szCs w:val="28"/>
          <w:u w:val="single"/>
        </w:rPr>
        <w:t>年</w:t>
      </w:r>
      <w:r>
        <w:rPr>
          <w:rFonts w:hint="eastAsia" w:ascii="宋体" w:hAnsi="宋体" w:eastAsia="宋体" w:cs="宋体"/>
          <w:color w:val="auto"/>
          <w:sz w:val="28"/>
          <w:szCs w:val="28"/>
          <w:u w:val="single"/>
          <w:lang w:val="en-US" w:eastAsia="zh-CN"/>
        </w:rPr>
        <w:t>11</w:t>
      </w:r>
      <w:r>
        <w:rPr>
          <w:rFonts w:hint="eastAsia" w:ascii="宋体" w:hAnsi="宋体" w:eastAsia="宋体" w:cs="宋体"/>
          <w:color w:val="auto"/>
          <w:sz w:val="28"/>
          <w:szCs w:val="28"/>
          <w:u w:val="single"/>
        </w:rPr>
        <w:t>月</w:t>
      </w:r>
      <w:r>
        <w:rPr>
          <w:rFonts w:hint="eastAsia" w:ascii="宋体" w:hAnsi="宋体" w:eastAsia="宋体" w:cs="宋体"/>
          <w:color w:val="auto"/>
          <w:sz w:val="28"/>
          <w:szCs w:val="28"/>
          <w:u w:val="single"/>
          <w:lang w:val="en-US" w:eastAsia="zh-CN"/>
        </w:rPr>
        <w:t>23</w:t>
      </w:r>
      <w:r>
        <w:rPr>
          <w:rFonts w:hint="eastAsia" w:ascii="宋体" w:hAnsi="宋体" w:eastAsia="宋体" w:cs="宋体"/>
          <w:color w:val="auto"/>
          <w:sz w:val="28"/>
          <w:szCs w:val="28"/>
          <w:u w:val="single"/>
        </w:rPr>
        <w:t>日</w:t>
      </w:r>
      <w:r>
        <w:rPr>
          <w:rFonts w:hint="eastAsia" w:ascii="宋体" w:hAnsi="宋体" w:eastAsia="宋体" w:cs="宋体"/>
          <w:color w:val="auto"/>
          <w:sz w:val="28"/>
          <w:szCs w:val="28"/>
        </w:rPr>
        <w:t>至</w:t>
      </w:r>
      <w:r>
        <w:rPr>
          <w:rFonts w:hint="eastAsia" w:ascii="宋体" w:hAnsi="宋体" w:eastAsia="宋体" w:cs="宋体"/>
          <w:color w:val="auto"/>
          <w:sz w:val="28"/>
          <w:szCs w:val="28"/>
          <w:lang w:val="en-US" w:eastAsia="zh-CN"/>
        </w:rPr>
        <w:t>2020</w:t>
      </w:r>
      <w:r>
        <w:rPr>
          <w:rFonts w:hint="eastAsia" w:ascii="宋体" w:hAnsi="宋体" w:eastAsia="宋体" w:cs="宋体"/>
          <w:color w:val="auto"/>
          <w:sz w:val="28"/>
          <w:szCs w:val="28"/>
          <w:u w:val="single"/>
        </w:rPr>
        <w:t>年</w:t>
      </w:r>
      <w:r>
        <w:rPr>
          <w:rFonts w:hint="eastAsia" w:ascii="宋体" w:hAnsi="宋体" w:eastAsia="宋体" w:cs="宋体"/>
          <w:color w:val="auto"/>
          <w:sz w:val="28"/>
          <w:szCs w:val="28"/>
          <w:u w:val="single"/>
          <w:lang w:val="en-US" w:eastAsia="zh-CN"/>
        </w:rPr>
        <w:t>11</w:t>
      </w:r>
      <w:r>
        <w:rPr>
          <w:rFonts w:hint="eastAsia" w:ascii="宋体" w:hAnsi="宋体" w:eastAsia="宋体" w:cs="宋体"/>
          <w:color w:val="auto"/>
          <w:sz w:val="28"/>
          <w:szCs w:val="28"/>
          <w:u w:val="single"/>
        </w:rPr>
        <w:t>月</w:t>
      </w:r>
      <w:r>
        <w:rPr>
          <w:rFonts w:hint="eastAsia" w:ascii="宋体" w:hAnsi="宋体" w:eastAsia="宋体" w:cs="宋体"/>
          <w:color w:val="auto"/>
          <w:sz w:val="28"/>
          <w:szCs w:val="28"/>
          <w:u w:val="single"/>
          <w:lang w:val="en-US" w:eastAsia="zh-CN"/>
        </w:rPr>
        <w:t>30</w:t>
      </w:r>
      <w:r>
        <w:rPr>
          <w:rFonts w:hint="eastAsia" w:ascii="宋体" w:hAnsi="宋体" w:eastAsia="宋体" w:cs="宋体"/>
          <w:color w:val="auto"/>
          <w:sz w:val="28"/>
          <w:szCs w:val="28"/>
          <w:u w:val="single"/>
        </w:rPr>
        <w:t>日</w:t>
      </w:r>
      <w:r>
        <w:rPr>
          <w:rFonts w:hint="eastAsia" w:ascii="宋体" w:hAnsi="宋体" w:eastAsia="宋体" w:cs="宋体"/>
          <w:color w:val="auto"/>
          <w:sz w:val="28"/>
          <w:szCs w:val="28"/>
        </w:rPr>
        <w:t>，每天8:30-16:30（北京时间，</w:t>
      </w:r>
      <w:r>
        <w:rPr>
          <w:rFonts w:ascii="宋体" w:hAnsi="宋体" w:eastAsia="宋体" w:cs="宋体"/>
          <w:color w:val="auto"/>
          <w:sz w:val="28"/>
          <w:szCs w:val="28"/>
        </w:rPr>
        <w:t>法定节假日</w:t>
      </w:r>
      <w:r>
        <w:rPr>
          <w:rFonts w:hint="eastAsia" w:ascii="宋体" w:hAnsi="宋体" w:eastAsia="宋体" w:cs="宋体"/>
          <w:color w:val="auto"/>
          <w:sz w:val="28"/>
          <w:szCs w:val="28"/>
        </w:rPr>
        <w:t>除外）</w:t>
      </w:r>
    </w:p>
    <w:p>
      <w:pPr>
        <w:spacing w:line="360" w:lineRule="auto"/>
        <w:ind w:firstLine="540"/>
        <w:rPr>
          <w:rFonts w:ascii="宋体" w:hAnsi="宋体" w:eastAsia="宋体" w:cs="宋体"/>
          <w:color w:val="auto"/>
          <w:sz w:val="28"/>
          <w:szCs w:val="28"/>
          <w:u w:val="single"/>
        </w:rPr>
      </w:pPr>
      <w:r>
        <w:rPr>
          <w:rFonts w:hint="eastAsia" w:ascii="宋体" w:hAnsi="宋体" w:eastAsia="宋体" w:cs="宋体"/>
          <w:color w:val="auto"/>
          <w:sz w:val="28"/>
          <w:szCs w:val="28"/>
        </w:rPr>
        <w:t>地点：</w:t>
      </w:r>
      <w:r>
        <w:rPr>
          <w:rFonts w:hint="eastAsia" w:ascii="宋体" w:hAnsi="宋体" w:eastAsia="宋体" w:cs="Times New Roman"/>
          <w:color w:val="auto"/>
          <w:sz w:val="28"/>
          <w:szCs w:val="28"/>
          <w:u w:val="single"/>
        </w:rPr>
        <w:t>北京市朝阳区南磨房路3</w:t>
      </w:r>
      <w:r>
        <w:rPr>
          <w:rFonts w:ascii="宋体" w:hAnsi="宋体" w:eastAsia="宋体" w:cs="Times New Roman"/>
          <w:color w:val="auto"/>
          <w:sz w:val="28"/>
          <w:szCs w:val="28"/>
          <w:u w:val="single"/>
        </w:rPr>
        <w:t>7</w:t>
      </w:r>
      <w:r>
        <w:rPr>
          <w:rFonts w:hint="eastAsia" w:ascii="宋体" w:hAnsi="宋体" w:eastAsia="宋体" w:cs="Times New Roman"/>
          <w:color w:val="auto"/>
          <w:sz w:val="28"/>
          <w:szCs w:val="28"/>
          <w:u w:val="single"/>
        </w:rPr>
        <w:t>号华腾北搪商务大厦1</w:t>
      </w:r>
      <w:r>
        <w:rPr>
          <w:rFonts w:ascii="宋体" w:hAnsi="宋体" w:eastAsia="宋体" w:cs="Times New Roman"/>
          <w:color w:val="auto"/>
          <w:sz w:val="28"/>
          <w:szCs w:val="28"/>
          <w:u w:val="single"/>
        </w:rPr>
        <w:t>1</w:t>
      </w:r>
      <w:r>
        <w:rPr>
          <w:rFonts w:hint="eastAsia" w:ascii="宋体" w:hAnsi="宋体" w:eastAsia="宋体" w:cs="Times New Roman"/>
          <w:color w:val="auto"/>
          <w:sz w:val="28"/>
          <w:szCs w:val="28"/>
          <w:u w:val="single"/>
        </w:rPr>
        <w:t>层</w:t>
      </w:r>
      <w:r>
        <w:rPr>
          <w:rFonts w:hint="eastAsia" w:ascii="宋体" w:hAnsi="宋体" w:eastAsia="宋体" w:cs="Times New Roman"/>
          <w:color w:val="auto"/>
          <w:sz w:val="28"/>
          <w:szCs w:val="28"/>
          <w:u w:val="single"/>
          <w:lang w:val="en-US" w:eastAsia="zh-CN"/>
        </w:rPr>
        <w:t>1112</w:t>
      </w:r>
      <w:r>
        <w:rPr>
          <w:rFonts w:hint="eastAsia" w:ascii="宋体" w:hAnsi="宋体" w:eastAsia="宋体" w:cs="Times New Roman"/>
          <w:color w:val="auto"/>
          <w:sz w:val="28"/>
          <w:szCs w:val="28"/>
          <w:u w:val="single"/>
        </w:rPr>
        <w:t>室</w:t>
      </w:r>
    </w:p>
    <w:p>
      <w:pPr>
        <w:spacing w:line="360" w:lineRule="auto"/>
        <w:ind w:firstLine="540"/>
        <w:rPr>
          <w:rFonts w:ascii="宋体" w:hAnsi="宋体" w:eastAsia="宋体" w:cs="宋体"/>
          <w:color w:val="auto"/>
          <w:sz w:val="28"/>
          <w:szCs w:val="28"/>
          <w:u w:val="single"/>
        </w:rPr>
      </w:pPr>
      <w:r>
        <w:rPr>
          <w:rFonts w:hint="eastAsia" w:ascii="宋体" w:hAnsi="宋体" w:eastAsia="宋体" w:cs="宋体"/>
          <w:color w:val="auto"/>
          <w:sz w:val="28"/>
          <w:szCs w:val="28"/>
        </w:rPr>
        <w:t>方式：</w:t>
      </w:r>
      <w:r>
        <w:rPr>
          <w:rFonts w:hint="eastAsia" w:ascii="宋体" w:hAnsi="宋体" w:eastAsia="宋体" w:cs="宋体"/>
          <w:color w:val="auto"/>
          <w:sz w:val="28"/>
          <w:szCs w:val="28"/>
          <w:u w:val="single"/>
        </w:rPr>
        <w:t>现场获取</w:t>
      </w:r>
    </w:p>
    <w:p>
      <w:pPr>
        <w:spacing w:line="360" w:lineRule="auto"/>
        <w:ind w:firstLine="540"/>
        <w:rPr>
          <w:rFonts w:ascii="宋体" w:hAnsi="宋体" w:eastAsia="宋体" w:cs="宋体"/>
          <w:color w:val="auto"/>
          <w:sz w:val="28"/>
          <w:szCs w:val="28"/>
        </w:rPr>
      </w:pPr>
      <w:r>
        <w:rPr>
          <w:rFonts w:hint="eastAsia" w:ascii="宋体" w:hAnsi="宋体" w:eastAsia="宋体" w:cs="宋体"/>
          <w:color w:val="auto"/>
          <w:sz w:val="28"/>
          <w:szCs w:val="28"/>
        </w:rPr>
        <w:t>售价：人民币500元；如需招标文件附件格式电子版(不含采购需求)，每份50元。招标文件及电子版售后不退。</w:t>
      </w:r>
    </w:p>
    <w:p>
      <w:pPr>
        <w:keepNext/>
        <w:keepLines/>
        <w:widowControl w:val="0"/>
        <w:spacing w:before="260" w:after="260" w:line="360" w:lineRule="auto"/>
        <w:jc w:val="both"/>
        <w:outlineLvl w:val="1"/>
        <w:rPr>
          <w:rFonts w:ascii="宋体" w:hAnsi="宋体" w:eastAsia="宋体" w:cs="宋体"/>
          <w:b w:val="0"/>
          <w:bCs/>
          <w:color w:val="auto"/>
          <w:kern w:val="2"/>
          <w:sz w:val="28"/>
          <w:szCs w:val="28"/>
          <w:lang w:val="en-US" w:eastAsia="zh-CN" w:bidi="ar-SA"/>
        </w:rPr>
      </w:pPr>
      <w:bookmarkStart w:id="15" w:name="_Toc28359082"/>
      <w:bookmarkStart w:id="16" w:name="_Toc28359005"/>
      <w:bookmarkStart w:id="17" w:name="_Toc35393624"/>
      <w:bookmarkStart w:id="18" w:name="_Toc35393793"/>
      <w:r>
        <w:rPr>
          <w:rFonts w:hint="eastAsia" w:ascii="宋体" w:hAnsi="宋体" w:eastAsia="宋体" w:cs="宋体"/>
          <w:b w:val="0"/>
          <w:bCs/>
          <w:color w:val="auto"/>
          <w:kern w:val="2"/>
          <w:sz w:val="28"/>
          <w:szCs w:val="28"/>
          <w:lang w:val="en-US" w:eastAsia="zh-CN" w:bidi="ar-SA"/>
        </w:rPr>
        <w:t>四、提交投标文件</w:t>
      </w:r>
      <w:bookmarkEnd w:id="15"/>
      <w:bookmarkEnd w:id="16"/>
      <w:r>
        <w:rPr>
          <w:rFonts w:hint="eastAsia" w:ascii="宋体" w:hAnsi="宋体" w:eastAsia="宋体" w:cs="宋体"/>
          <w:b w:val="0"/>
          <w:bCs/>
          <w:color w:val="auto"/>
          <w:kern w:val="2"/>
          <w:sz w:val="28"/>
          <w:szCs w:val="28"/>
          <w:lang w:val="en-US" w:eastAsia="zh-CN" w:bidi="ar-SA"/>
        </w:rPr>
        <w:t>截止时间、开标时间和地点</w:t>
      </w:r>
      <w:bookmarkEnd w:id="17"/>
      <w:bookmarkEnd w:id="18"/>
    </w:p>
    <w:p>
      <w:pPr>
        <w:ind w:firstLine="560" w:firstLineChars="200"/>
        <w:rPr>
          <w:rFonts w:hint="eastAsia" w:ascii="宋体" w:hAnsi="宋体" w:eastAsia="宋体" w:cs="Times New Roman"/>
          <w:bCs/>
          <w:color w:val="auto"/>
          <w:sz w:val="28"/>
          <w:szCs w:val="28"/>
        </w:rPr>
      </w:pPr>
      <w:r>
        <w:rPr>
          <w:rFonts w:hint="eastAsia" w:ascii="宋体" w:hAnsi="宋体" w:eastAsia="宋体" w:cs="Times New Roman"/>
          <w:bCs/>
          <w:color w:val="auto"/>
          <w:sz w:val="28"/>
          <w:szCs w:val="28"/>
          <w:u w:val="single"/>
          <w:lang w:val="en-US" w:eastAsia="zh-CN"/>
        </w:rPr>
        <w:t>2020</w:t>
      </w:r>
      <w:r>
        <w:rPr>
          <w:rFonts w:hint="eastAsia" w:ascii="宋体" w:hAnsi="宋体" w:eastAsia="宋体" w:cs="Times New Roman"/>
          <w:bCs/>
          <w:color w:val="auto"/>
          <w:sz w:val="28"/>
          <w:szCs w:val="28"/>
          <w:u w:val="single"/>
        </w:rPr>
        <w:t>年</w:t>
      </w:r>
      <w:r>
        <w:rPr>
          <w:rFonts w:hint="eastAsia" w:ascii="宋体" w:hAnsi="宋体" w:eastAsia="宋体" w:cs="Times New Roman"/>
          <w:bCs/>
          <w:color w:val="auto"/>
          <w:sz w:val="28"/>
          <w:szCs w:val="28"/>
          <w:u w:val="single"/>
          <w:lang w:val="en-US" w:eastAsia="zh-CN"/>
        </w:rPr>
        <w:t>12</w:t>
      </w:r>
      <w:r>
        <w:rPr>
          <w:rFonts w:hint="eastAsia" w:ascii="宋体" w:hAnsi="宋体" w:eastAsia="宋体" w:cs="Times New Roman"/>
          <w:bCs/>
          <w:color w:val="auto"/>
          <w:sz w:val="28"/>
          <w:szCs w:val="28"/>
          <w:u w:val="single"/>
        </w:rPr>
        <w:t>月</w:t>
      </w:r>
      <w:r>
        <w:rPr>
          <w:rFonts w:hint="eastAsia" w:ascii="宋体" w:hAnsi="宋体" w:eastAsia="宋体" w:cs="Times New Roman"/>
          <w:bCs/>
          <w:color w:val="auto"/>
          <w:sz w:val="28"/>
          <w:szCs w:val="28"/>
          <w:u w:val="single"/>
          <w:lang w:val="en-US" w:eastAsia="zh-CN"/>
        </w:rPr>
        <w:t>15</w:t>
      </w:r>
      <w:r>
        <w:rPr>
          <w:rFonts w:hint="eastAsia" w:ascii="宋体" w:hAnsi="宋体" w:eastAsia="宋体" w:cs="Times New Roman"/>
          <w:bCs/>
          <w:color w:val="auto"/>
          <w:sz w:val="28"/>
          <w:szCs w:val="28"/>
          <w:u w:val="single"/>
        </w:rPr>
        <w:t>日</w:t>
      </w:r>
      <w:r>
        <w:rPr>
          <w:rFonts w:hint="eastAsia" w:ascii="宋体" w:hAnsi="宋体" w:eastAsia="宋体" w:cs="Times New Roman"/>
          <w:bCs/>
          <w:color w:val="auto"/>
          <w:sz w:val="28"/>
          <w:szCs w:val="28"/>
          <w:u w:val="single"/>
          <w:lang w:val="en-US" w:eastAsia="zh-CN"/>
        </w:rPr>
        <w:t>9</w:t>
      </w:r>
      <w:r>
        <w:rPr>
          <w:rFonts w:hint="eastAsia" w:ascii="宋体" w:hAnsi="宋体" w:eastAsia="宋体" w:cs="Times New Roman"/>
          <w:bCs/>
          <w:color w:val="auto"/>
          <w:sz w:val="28"/>
          <w:szCs w:val="28"/>
          <w:u w:val="single"/>
        </w:rPr>
        <w:t>点</w:t>
      </w:r>
      <w:r>
        <w:rPr>
          <w:rFonts w:hint="eastAsia" w:ascii="宋体" w:hAnsi="宋体" w:eastAsia="宋体" w:cs="Times New Roman"/>
          <w:bCs/>
          <w:color w:val="auto"/>
          <w:sz w:val="28"/>
          <w:szCs w:val="28"/>
          <w:u w:val="single"/>
          <w:lang w:val="en-US" w:eastAsia="zh-CN"/>
        </w:rPr>
        <w:t>30</w:t>
      </w:r>
      <w:r>
        <w:rPr>
          <w:rFonts w:hint="eastAsia" w:ascii="宋体" w:hAnsi="宋体" w:eastAsia="宋体" w:cs="Times New Roman"/>
          <w:bCs/>
          <w:color w:val="auto"/>
          <w:sz w:val="28"/>
          <w:szCs w:val="28"/>
          <w:u w:val="single"/>
        </w:rPr>
        <w:t>分</w:t>
      </w:r>
      <w:r>
        <w:rPr>
          <w:rFonts w:hint="eastAsia" w:ascii="宋体" w:hAnsi="宋体" w:eastAsia="宋体" w:cs="Times New Roman"/>
          <w:bCs/>
          <w:color w:val="auto"/>
          <w:sz w:val="28"/>
          <w:szCs w:val="28"/>
        </w:rPr>
        <w:t>（北京时间）</w:t>
      </w:r>
    </w:p>
    <w:p>
      <w:pPr>
        <w:ind w:firstLine="560" w:firstLineChars="200"/>
        <w:rPr>
          <w:rFonts w:ascii="宋体" w:hAnsi="宋体" w:eastAsia="宋体" w:cs="Times New Roman"/>
          <w:bCs/>
          <w:color w:val="auto"/>
          <w:sz w:val="28"/>
          <w:szCs w:val="28"/>
          <w:u w:val="single"/>
        </w:rPr>
      </w:pPr>
      <w:r>
        <w:rPr>
          <w:rFonts w:hint="eastAsia" w:ascii="宋体" w:hAnsi="宋体" w:eastAsia="宋体" w:cs="Times New Roman"/>
          <w:color w:val="auto"/>
          <w:sz w:val="28"/>
          <w:szCs w:val="28"/>
        </w:rPr>
        <w:t>地点：北京市朝阳区南磨房路37号华腾北搪商务大厦111</w:t>
      </w:r>
      <w:r>
        <w:rPr>
          <w:rFonts w:hint="eastAsia" w:ascii="宋体" w:hAnsi="宋体" w:eastAsia="宋体" w:cs="Times New Roman"/>
          <w:color w:val="auto"/>
          <w:sz w:val="28"/>
          <w:szCs w:val="28"/>
          <w:lang w:val="en-US" w:eastAsia="zh-CN"/>
        </w:rPr>
        <w:t>3</w:t>
      </w:r>
      <w:r>
        <w:rPr>
          <w:rFonts w:hint="eastAsia" w:ascii="宋体" w:hAnsi="宋体" w:eastAsia="宋体" w:cs="Times New Roman"/>
          <w:color w:val="auto"/>
          <w:sz w:val="28"/>
          <w:szCs w:val="28"/>
        </w:rPr>
        <w:t>室。</w:t>
      </w:r>
    </w:p>
    <w:p>
      <w:pPr>
        <w:keepNext/>
        <w:keepLines/>
        <w:widowControl w:val="0"/>
        <w:spacing w:before="260" w:after="260" w:line="360" w:lineRule="auto"/>
        <w:jc w:val="both"/>
        <w:outlineLvl w:val="1"/>
        <w:rPr>
          <w:rFonts w:ascii="宋体" w:hAnsi="宋体" w:eastAsia="宋体" w:cs="宋体"/>
          <w:b w:val="0"/>
          <w:bCs/>
          <w:color w:val="auto"/>
          <w:kern w:val="2"/>
          <w:sz w:val="28"/>
          <w:szCs w:val="28"/>
          <w:lang w:val="en-US" w:eastAsia="zh-CN" w:bidi="ar-SA"/>
        </w:rPr>
      </w:pPr>
      <w:bookmarkStart w:id="19" w:name="_Toc35393625"/>
      <w:bookmarkStart w:id="20" w:name="_Toc28359007"/>
      <w:bookmarkStart w:id="21" w:name="_Toc28359084"/>
      <w:bookmarkStart w:id="22" w:name="_Toc35393794"/>
      <w:r>
        <w:rPr>
          <w:rFonts w:hint="eastAsia" w:ascii="宋体" w:hAnsi="宋体" w:eastAsia="宋体" w:cs="宋体"/>
          <w:b w:val="0"/>
          <w:bCs/>
          <w:color w:val="auto"/>
          <w:kern w:val="2"/>
          <w:sz w:val="28"/>
          <w:szCs w:val="28"/>
          <w:lang w:val="en-US" w:eastAsia="zh-CN" w:bidi="ar-SA"/>
        </w:rPr>
        <w:t>五、公告期限</w:t>
      </w:r>
      <w:bookmarkEnd w:id="19"/>
      <w:bookmarkEnd w:id="20"/>
      <w:bookmarkEnd w:id="21"/>
      <w:bookmarkEnd w:id="22"/>
    </w:p>
    <w:p>
      <w:pPr>
        <w:ind w:firstLine="560" w:firstLineChars="200"/>
        <w:rPr>
          <w:rFonts w:ascii="宋体" w:hAnsi="宋体" w:eastAsia="宋体" w:cs="宋体"/>
          <w:color w:val="auto"/>
          <w:kern w:val="0"/>
          <w:sz w:val="28"/>
          <w:szCs w:val="28"/>
        </w:rPr>
      </w:pPr>
      <w:r>
        <w:rPr>
          <w:rFonts w:hint="eastAsia" w:ascii="宋体" w:hAnsi="宋体" w:eastAsia="宋体" w:cs="宋体"/>
          <w:color w:val="auto"/>
          <w:kern w:val="0"/>
          <w:sz w:val="28"/>
          <w:szCs w:val="28"/>
        </w:rPr>
        <w:t>自本公告发布之日起5个工作日</w:t>
      </w:r>
      <w:bookmarkStart w:id="33" w:name="_GoBack"/>
      <w:bookmarkEnd w:id="33"/>
      <w:r>
        <w:rPr>
          <w:rFonts w:hint="eastAsia" w:ascii="宋体" w:hAnsi="宋体" w:eastAsia="宋体" w:cs="宋体"/>
          <w:color w:val="auto"/>
          <w:kern w:val="0"/>
          <w:sz w:val="28"/>
          <w:szCs w:val="28"/>
        </w:rPr>
        <w:t>。</w:t>
      </w:r>
    </w:p>
    <w:p>
      <w:pPr>
        <w:keepNext/>
        <w:keepLines/>
        <w:widowControl w:val="0"/>
        <w:spacing w:before="260" w:after="260" w:line="360" w:lineRule="auto"/>
        <w:jc w:val="both"/>
        <w:outlineLvl w:val="1"/>
        <w:rPr>
          <w:rFonts w:ascii="宋体" w:hAnsi="宋体" w:eastAsia="宋体" w:cs="宋体"/>
          <w:b w:val="0"/>
          <w:bCs/>
          <w:color w:val="auto"/>
          <w:kern w:val="2"/>
          <w:sz w:val="28"/>
          <w:szCs w:val="28"/>
          <w:lang w:val="en-US" w:eastAsia="zh-CN" w:bidi="ar-SA"/>
        </w:rPr>
      </w:pPr>
      <w:bookmarkStart w:id="23" w:name="_Toc35393795"/>
      <w:bookmarkStart w:id="24" w:name="_Toc35393626"/>
      <w:r>
        <w:rPr>
          <w:rFonts w:hint="eastAsia" w:ascii="宋体" w:hAnsi="宋体" w:eastAsia="宋体" w:cs="宋体"/>
          <w:b w:val="0"/>
          <w:bCs/>
          <w:color w:val="auto"/>
          <w:kern w:val="2"/>
          <w:sz w:val="28"/>
          <w:szCs w:val="28"/>
          <w:lang w:val="en-US" w:eastAsia="zh-CN" w:bidi="ar-SA"/>
        </w:rPr>
        <w:t>六、其他补充事宜</w:t>
      </w:r>
      <w:bookmarkEnd w:id="23"/>
      <w:bookmarkEnd w:id="24"/>
    </w:p>
    <w:p>
      <w:pPr>
        <w:widowControl w:val="0"/>
        <w:ind w:left="495" w:firstLine="0" w:firstLineChars="0"/>
        <w:jc w:val="both"/>
        <w:rPr>
          <w:rFonts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1</w:t>
      </w:r>
      <w:r>
        <w:rPr>
          <w:rFonts w:ascii="宋体" w:hAnsi="宋体" w:eastAsia="宋体" w:cs="宋体"/>
          <w:color w:val="auto"/>
          <w:kern w:val="0"/>
          <w:sz w:val="28"/>
          <w:szCs w:val="28"/>
          <w:lang w:val="en-US" w:eastAsia="zh-CN" w:bidi="ar-SA"/>
        </w:rPr>
        <w:t>.</w:t>
      </w:r>
      <w:r>
        <w:rPr>
          <w:rFonts w:hint="eastAsia" w:ascii="宋体" w:hAnsi="宋体" w:eastAsia="宋体" w:cs="宋体"/>
          <w:color w:val="auto"/>
          <w:kern w:val="0"/>
          <w:sz w:val="28"/>
          <w:szCs w:val="28"/>
          <w:lang w:val="en-US" w:eastAsia="zh-CN" w:bidi="ar-SA"/>
        </w:rPr>
        <w:t xml:space="preserve"> 采购项目需要落实的政府采购政策：节约能源、保护环境、扶持不发达地区和少数民族地区、促进中小企业发展、支持监狱企业发展、促进残疾人就业、优先采购贫困地区农副产品等政府采购政策。</w:t>
      </w:r>
    </w:p>
    <w:p>
      <w:pPr>
        <w:widowControl w:val="0"/>
        <w:ind w:left="495" w:firstLine="0" w:firstLineChars="0"/>
        <w:jc w:val="both"/>
        <w:rPr>
          <w:rFonts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2</w:t>
      </w:r>
      <w:r>
        <w:rPr>
          <w:rFonts w:ascii="宋体" w:hAnsi="宋体" w:eastAsia="宋体" w:cs="宋体"/>
          <w:color w:val="auto"/>
          <w:kern w:val="0"/>
          <w:sz w:val="28"/>
          <w:szCs w:val="28"/>
          <w:lang w:val="en-US" w:eastAsia="zh-CN" w:bidi="ar-SA"/>
        </w:rPr>
        <w:t>.</w:t>
      </w:r>
      <w:r>
        <w:rPr>
          <w:rFonts w:hint="eastAsia" w:ascii="宋体" w:hAnsi="宋体" w:eastAsia="宋体" w:cs="Times New Roman"/>
          <w:color w:val="auto"/>
          <w:kern w:val="2"/>
          <w:sz w:val="21"/>
          <w:szCs w:val="21"/>
          <w:lang w:val="en-US" w:eastAsia="zh-CN" w:bidi="ar-SA"/>
        </w:rPr>
        <w:t xml:space="preserve"> </w:t>
      </w:r>
      <w:r>
        <w:rPr>
          <w:rFonts w:hint="eastAsia" w:ascii="宋体" w:hAnsi="宋体" w:eastAsia="宋体" w:cs="宋体"/>
          <w:color w:val="auto"/>
          <w:kern w:val="0"/>
          <w:sz w:val="28"/>
          <w:szCs w:val="28"/>
          <w:lang w:val="en-US" w:eastAsia="zh-CN" w:bidi="ar-SA"/>
        </w:rPr>
        <w:t>评分方法：综合评分法</w:t>
      </w:r>
    </w:p>
    <w:p>
      <w:pPr>
        <w:widowControl w:val="0"/>
        <w:ind w:left="495" w:firstLine="0" w:firstLineChars="0"/>
        <w:jc w:val="both"/>
        <w:rPr>
          <w:rFonts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3</w:t>
      </w:r>
      <w:r>
        <w:rPr>
          <w:rFonts w:ascii="宋体" w:hAnsi="宋体" w:eastAsia="宋体" w:cs="宋体"/>
          <w:color w:val="auto"/>
          <w:kern w:val="0"/>
          <w:sz w:val="28"/>
          <w:szCs w:val="28"/>
          <w:lang w:val="en-US" w:eastAsia="zh-CN" w:bidi="ar-SA"/>
        </w:rPr>
        <w:t xml:space="preserve">. </w:t>
      </w:r>
      <w:r>
        <w:rPr>
          <w:rFonts w:hint="eastAsia" w:ascii="宋体" w:hAnsi="宋体" w:eastAsia="宋体" w:cs="宋体"/>
          <w:color w:val="auto"/>
          <w:kern w:val="0"/>
          <w:sz w:val="28"/>
          <w:szCs w:val="28"/>
          <w:lang w:val="en-US" w:eastAsia="zh-CN" w:bidi="ar-SA"/>
        </w:rPr>
        <w:t>投标人须对本项目内全部货物及服务进行投标，不得拆开投标。</w:t>
      </w:r>
    </w:p>
    <w:p>
      <w:pPr>
        <w:keepNext/>
        <w:keepLines/>
        <w:widowControl w:val="0"/>
        <w:spacing w:before="260" w:after="260" w:line="360" w:lineRule="auto"/>
        <w:jc w:val="both"/>
        <w:outlineLvl w:val="1"/>
        <w:rPr>
          <w:rFonts w:ascii="宋体" w:hAnsi="宋体" w:eastAsia="宋体" w:cs="宋体"/>
          <w:b w:val="0"/>
          <w:bCs/>
          <w:color w:val="auto"/>
          <w:kern w:val="2"/>
          <w:sz w:val="28"/>
          <w:szCs w:val="28"/>
          <w:lang w:val="en-US" w:eastAsia="zh-CN" w:bidi="ar-SA"/>
        </w:rPr>
      </w:pPr>
      <w:bookmarkStart w:id="25" w:name="_Toc35393796"/>
      <w:bookmarkStart w:id="26" w:name="_Toc28359085"/>
      <w:bookmarkStart w:id="27" w:name="_Toc35393627"/>
      <w:bookmarkStart w:id="28" w:name="_Toc28359008"/>
      <w:r>
        <w:rPr>
          <w:rFonts w:hint="eastAsia" w:ascii="宋体" w:hAnsi="宋体" w:eastAsia="宋体" w:cs="宋体"/>
          <w:b w:val="0"/>
          <w:bCs/>
          <w:color w:val="auto"/>
          <w:kern w:val="2"/>
          <w:sz w:val="28"/>
          <w:szCs w:val="28"/>
          <w:lang w:val="en-US" w:eastAsia="zh-CN" w:bidi="ar-SA"/>
        </w:rPr>
        <w:t>七、对本次招标提出询问，请按</w:t>
      </w:r>
      <w:r>
        <w:rPr>
          <w:rFonts w:ascii="宋体" w:hAnsi="宋体" w:eastAsia="宋体" w:cs="宋体"/>
          <w:b w:val="0"/>
          <w:bCs/>
          <w:color w:val="auto"/>
          <w:kern w:val="2"/>
          <w:sz w:val="28"/>
          <w:szCs w:val="28"/>
          <w:lang w:val="en-US" w:eastAsia="zh-CN" w:bidi="ar-SA"/>
        </w:rPr>
        <w:t>以下方式</w:t>
      </w:r>
      <w:r>
        <w:rPr>
          <w:rFonts w:hint="eastAsia" w:ascii="宋体" w:hAnsi="宋体" w:eastAsia="宋体" w:cs="宋体"/>
          <w:b w:val="0"/>
          <w:bCs/>
          <w:color w:val="auto"/>
          <w:kern w:val="2"/>
          <w:sz w:val="28"/>
          <w:szCs w:val="28"/>
          <w:lang w:val="en-US" w:eastAsia="zh-CN" w:bidi="ar-SA"/>
        </w:rPr>
        <w:t>联系。</w:t>
      </w:r>
      <w:bookmarkEnd w:id="25"/>
      <w:bookmarkEnd w:id="26"/>
      <w:bookmarkEnd w:id="27"/>
      <w:bookmarkEnd w:id="28"/>
    </w:p>
    <w:p>
      <w:pPr>
        <w:widowControl/>
        <w:jc w:val="left"/>
        <w:rPr>
          <w:rFonts w:ascii="宋体" w:hAnsi="宋体" w:eastAsia="宋体" w:cs="Times New Roman"/>
          <w:color w:val="auto"/>
          <w:sz w:val="28"/>
          <w:szCs w:val="28"/>
        </w:rPr>
      </w:pPr>
      <w:r>
        <w:rPr>
          <w:rFonts w:hint="eastAsia" w:ascii="宋体" w:hAnsi="宋体" w:eastAsia="宋体" w:cs="宋体"/>
          <w:color w:val="auto"/>
          <w:sz w:val="28"/>
          <w:szCs w:val="28"/>
        </w:rPr>
        <w:t>　　　1.采购人信息</w:t>
      </w:r>
    </w:p>
    <w:p>
      <w:pPr>
        <w:spacing w:line="360" w:lineRule="auto"/>
        <w:ind w:left="1129" w:leftChars="371" w:hanging="350" w:hangingChars="125"/>
        <w:jc w:val="left"/>
        <w:rPr>
          <w:rFonts w:ascii="宋体" w:hAnsi="宋体" w:eastAsia="宋体" w:cs="Times New Roman"/>
          <w:color w:val="auto"/>
          <w:sz w:val="28"/>
          <w:szCs w:val="28"/>
        </w:rPr>
      </w:pPr>
      <w:r>
        <w:rPr>
          <w:rFonts w:hint="eastAsia" w:ascii="宋体" w:hAnsi="宋体" w:eastAsia="宋体" w:cs="Times New Roman"/>
          <w:color w:val="auto"/>
          <w:sz w:val="28"/>
          <w:szCs w:val="28"/>
        </w:rPr>
        <w:t>名 称：</w:t>
      </w:r>
      <w:r>
        <w:rPr>
          <w:rFonts w:hint="eastAsia" w:ascii="宋体" w:hAnsi="宋体" w:eastAsia="宋体" w:cs="Times New Roman"/>
          <w:color w:val="auto"/>
          <w:sz w:val="28"/>
          <w:szCs w:val="28"/>
          <w:u w:val="single"/>
        </w:rPr>
        <w:t>北京交通运输职业学院</w:t>
      </w:r>
    </w:p>
    <w:p>
      <w:pPr>
        <w:spacing w:line="360" w:lineRule="auto"/>
        <w:ind w:left="1129" w:leftChars="371" w:hanging="350" w:hangingChars="125"/>
        <w:jc w:val="left"/>
        <w:rPr>
          <w:rFonts w:ascii="宋体" w:hAnsi="宋体" w:eastAsia="宋体" w:cs="Times New Roman"/>
          <w:color w:val="auto"/>
          <w:sz w:val="28"/>
          <w:szCs w:val="28"/>
        </w:rPr>
      </w:pPr>
      <w:r>
        <w:rPr>
          <w:rFonts w:hint="eastAsia" w:ascii="宋体" w:hAnsi="宋体" w:eastAsia="宋体" w:cs="Times New Roman"/>
          <w:color w:val="auto"/>
          <w:sz w:val="28"/>
          <w:szCs w:val="28"/>
        </w:rPr>
        <w:t>地址：</w:t>
      </w:r>
      <w:r>
        <w:rPr>
          <w:rFonts w:hint="eastAsia" w:ascii="宋体" w:hAnsi="宋体" w:eastAsia="宋体" w:cs="Times New Roman"/>
          <w:color w:val="auto"/>
          <w:sz w:val="28"/>
          <w:szCs w:val="28"/>
          <w:u w:val="single"/>
        </w:rPr>
        <w:t>北京市大兴区清源路北</w:t>
      </w:r>
    </w:p>
    <w:p>
      <w:pPr>
        <w:spacing w:line="360" w:lineRule="auto"/>
        <w:ind w:left="1129" w:leftChars="371" w:hanging="350" w:hangingChars="125"/>
        <w:jc w:val="left"/>
        <w:rPr>
          <w:rFonts w:ascii="宋体" w:hAnsi="宋体" w:eastAsia="宋体" w:cs="Times New Roman"/>
          <w:color w:val="auto"/>
          <w:sz w:val="28"/>
          <w:szCs w:val="28"/>
          <w:u w:val="single"/>
        </w:rPr>
      </w:pPr>
      <w:r>
        <w:rPr>
          <w:rFonts w:hint="eastAsia" w:ascii="宋体" w:hAnsi="宋体" w:eastAsia="宋体" w:cs="Times New Roman"/>
          <w:color w:val="auto"/>
          <w:sz w:val="28"/>
          <w:szCs w:val="28"/>
        </w:rPr>
        <w:t>联系方式：</w:t>
      </w:r>
      <w:r>
        <w:rPr>
          <w:rFonts w:hint="eastAsia" w:ascii="宋体" w:hAnsi="宋体" w:eastAsia="宋体" w:cs="Times New Roman"/>
          <w:color w:val="auto"/>
          <w:sz w:val="28"/>
          <w:szCs w:val="28"/>
          <w:u w:val="single"/>
          <w:lang w:val="en-US" w:eastAsia="zh-CN"/>
        </w:rPr>
        <w:t>魏老师</w:t>
      </w:r>
      <w:r>
        <w:rPr>
          <w:rFonts w:hint="eastAsia" w:ascii="宋体" w:hAnsi="宋体" w:eastAsia="宋体" w:cs="Times New Roman"/>
          <w:color w:val="auto"/>
          <w:sz w:val="28"/>
          <w:szCs w:val="28"/>
          <w:u w:val="single"/>
        </w:rPr>
        <w:t>010-69241644</w:t>
      </w:r>
      <w:bookmarkStart w:id="29" w:name="_Toc28359009"/>
      <w:bookmarkStart w:id="30" w:name="_Toc28359086"/>
    </w:p>
    <w:p>
      <w:pPr>
        <w:spacing w:line="360" w:lineRule="auto"/>
        <w:ind w:left="1129" w:leftChars="371" w:hanging="350" w:hangingChars="125"/>
        <w:jc w:val="left"/>
        <w:rPr>
          <w:rFonts w:ascii="宋体" w:hAnsi="宋体" w:eastAsia="宋体" w:cs="Times New Roman"/>
          <w:color w:val="auto"/>
          <w:sz w:val="28"/>
          <w:szCs w:val="28"/>
        </w:rPr>
      </w:pPr>
      <w:r>
        <w:rPr>
          <w:rFonts w:hint="eastAsia" w:ascii="宋体" w:hAnsi="宋体" w:eastAsia="宋体" w:cs="宋体"/>
          <w:color w:val="auto"/>
          <w:sz w:val="28"/>
          <w:szCs w:val="28"/>
        </w:rPr>
        <w:t>2.采购代理机构信息</w:t>
      </w:r>
      <w:bookmarkEnd w:id="29"/>
      <w:bookmarkEnd w:id="30"/>
    </w:p>
    <w:p>
      <w:pPr>
        <w:spacing w:line="360" w:lineRule="auto"/>
        <w:ind w:firstLine="840" w:firstLineChars="300"/>
        <w:rPr>
          <w:rFonts w:ascii="宋体" w:hAnsi="宋体" w:eastAsia="宋体" w:cs="Times New Roman"/>
          <w:color w:val="auto"/>
          <w:sz w:val="28"/>
          <w:szCs w:val="28"/>
        </w:rPr>
      </w:pPr>
      <w:bookmarkStart w:id="31" w:name="_Toc28359010"/>
      <w:bookmarkStart w:id="32" w:name="_Toc28359087"/>
      <w:r>
        <w:rPr>
          <w:rFonts w:hint="eastAsia" w:ascii="宋体" w:hAnsi="宋体" w:eastAsia="宋体" w:cs="Times New Roman"/>
          <w:color w:val="auto"/>
          <w:sz w:val="28"/>
          <w:szCs w:val="28"/>
        </w:rPr>
        <w:t>名 称：</w:t>
      </w:r>
      <w:r>
        <w:rPr>
          <w:rFonts w:hint="eastAsia" w:ascii="宋体" w:hAnsi="宋体" w:eastAsia="宋体" w:cs="Times New Roman"/>
          <w:color w:val="auto"/>
          <w:sz w:val="28"/>
          <w:szCs w:val="28"/>
          <w:u w:val="single"/>
        </w:rPr>
        <w:t>中天信远国际招投标咨询（北京）有限公司</w:t>
      </w:r>
    </w:p>
    <w:p>
      <w:pPr>
        <w:spacing w:line="360" w:lineRule="auto"/>
        <w:ind w:firstLine="840" w:firstLineChars="300"/>
        <w:rPr>
          <w:rFonts w:ascii="宋体" w:hAnsi="宋体" w:eastAsia="宋体" w:cs="Times New Roman"/>
          <w:color w:val="auto"/>
          <w:sz w:val="28"/>
          <w:szCs w:val="28"/>
        </w:rPr>
      </w:pPr>
      <w:r>
        <w:rPr>
          <w:rFonts w:hint="eastAsia" w:ascii="宋体" w:hAnsi="宋体" w:eastAsia="宋体" w:cs="Times New Roman"/>
          <w:color w:val="auto"/>
          <w:sz w:val="28"/>
          <w:szCs w:val="28"/>
        </w:rPr>
        <w:t>地　址：</w:t>
      </w:r>
      <w:r>
        <w:rPr>
          <w:rFonts w:hint="eastAsia" w:ascii="宋体" w:hAnsi="宋体" w:eastAsia="宋体" w:cs="Times New Roman"/>
          <w:color w:val="auto"/>
          <w:sz w:val="28"/>
          <w:szCs w:val="28"/>
          <w:u w:val="single"/>
        </w:rPr>
        <w:t>北京市朝阳区南磨房路3</w:t>
      </w:r>
      <w:r>
        <w:rPr>
          <w:rFonts w:ascii="宋体" w:hAnsi="宋体" w:eastAsia="宋体" w:cs="Times New Roman"/>
          <w:color w:val="auto"/>
          <w:sz w:val="28"/>
          <w:szCs w:val="28"/>
          <w:u w:val="single"/>
        </w:rPr>
        <w:t>7</w:t>
      </w:r>
      <w:r>
        <w:rPr>
          <w:rFonts w:hint="eastAsia" w:ascii="宋体" w:hAnsi="宋体" w:eastAsia="宋体" w:cs="Times New Roman"/>
          <w:color w:val="auto"/>
          <w:sz w:val="28"/>
          <w:szCs w:val="28"/>
          <w:u w:val="single"/>
        </w:rPr>
        <w:t>号华腾北搪商务大厦1</w:t>
      </w:r>
      <w:r>
        <w:rPr>
          <w:rFonts w:ascii="宋体" w:hAnsi="宋体" w:eastAsia="宋体" w:cs="Times New Roman"/>
          <w:color w:val="auto"/>
          <w:sz w:val="28"/>
          <w:szCs w:val="28"/>
          <w:u w:val="single"/>
        </w:rPr>
        <w:t>1</w:t>
      </w:r>
      <w:r>
        <w:rPr>
          <w:rFonts w:hint="eastAsia" w:ascii="宋体" w:hAnsi="宋体" w:eastAsia="宋体" w:cs="Times New Roman"/>
          <w:color w:val="auto"/>
          <w:sz w:val="28"/>
          <w:szCs w:val="28"/>
          <w:u w:val="single"/>
        </w:rPr>
        <w:t xml:space="preserve">层 </w:t>
      </w:r>
      <w:r>
        <w:rPr>
          <w:rFonts w:ascii="宋体" w:hAnsi="宋体" w:eastAsia="宋体" w:cs="Times New Roman"/>
          <w:color w:val="auto"/>
          <w:sz w:val="28"/>
          <w:szCs w:val="28"/>
          <w:u w:val="single"/>
        </w:rPr>
        <w:t xml:space="preserve"> </w:t>
      </w:r>
      <w:r>
        <w:rPr>
          <w:rFonts w:hint="eastAsia" w:ascii="宋体" w:hAnsi="宋体" w:eastAsia="宋体" w:cs="Times New Roman"/>
          <w:color w:val="auto"/>
          <w:sz w:val="28"/>
          <w:szCs w:val="28"/>
          <w:u w:val="single"/>
          <w:lang w:val="en-US" w:eastAsia="zh-CN"/>
        </w:rPr>
        <w:t>1112</w:t>
      </w:r>
      <w:r>
        <w:rPr>
          <w:rFonts w:hint="eastAsia" w:ascii="宋体" w:hAnsi="宋体" w:eastAsia="宋体" w:cs="Times New Roman"/>
          <w:color w:val="auto"/>
          <w:sz w:val="28"/>
          <w:szCs w:val="28"/>
          <w:u w:val="single"/>
        </w:rPr>
        <w:t>室</w:t>
      </w:r>
    </w:p>
    <w:p>
      <w:pPr>
        <w:spacing w:line="360" w:lineRule="auto"/>
        <w:ind w:firstLine="840" w:firstLineChars="300"/>
        <w:rPr>
          <w:rFonts w:hint="eastAsia" w:ascii="宋体" w:hAnsi="宋体" w:eastAsia="宋体" w:cs="Times New Roman"/>
          <w:color w:val="auto"/>
          <w:sz w:val="28"/>
          <w:szCs w:val="28"/>
          <w:u w:val="single"/>
        </w:rPr>
      </w:pPr>
      <w:r>
        <w:rPr>
          <w:rFonts w:hint="eastAsia" w:ascii="宋体" w:hAnsi="宋体" w:eastAsia="宋体" w:cs="Times New Roman"/>
          <w:color w:val="auto"/>
          <w:sz w:val="28"/>
          <w:szCs w:val="28"/>
        </w:rPr>
        <w:t>联系方式：</w:t>
      </w:r>
      <w:r>
        <w:rPr>
          <w:rFonts w:hint="eastAsia" w:ascii="宋体" w:hAnsi="宋体" w:eastAsia="宋体" w:cs="Times New Roman"/>
          <w:color w:val="auto"/>
          <w:sz w:val="28"/>
          <w:szCs w:val="28"/>
          <w:u w:val="single"/>
        </w:rPr>
        <w:t>010-51909015（座机）</w:t>
      </w:r>
    </w:p>
    <w:p>
      <w:pPr>
        <w:spacing w:line="360" w:lineRule="auto"/>
        <w:ind w:firstLine="840" w:firstLineChars="300"/>
        <w:rPr>
          <w:rFonts w:ascii="宋体" w:hAnsi="宋体" w:eastAsia="宋体" w:cs="Times New Roman"/>
          <w:color w:val="auto"/>
          <w:sz w:val="28"/>
          <w:szCs w:val="28"/>
          <w:u w:val="single"/>
        </w:rPr>
      </w:pPr>
      <w:r>
        <w:rPr>
          <w:rFonts w:hint="eastAsia" w:ascii="宋体" w:hAnsi="宋体" w:eastAsia="宋体" w:cs="宋体"/>
          <w:color w:val="auto"/>
          <w:sz w:val="28"/>
          <w:szCs w:val="28"/>
        </w:rPr>
        <w:t>3.项目</w:t>
      </w:r>
      <w:r>
        <w:rPr>
          <w:rFonts w:ascii="宋体" w:hAnsi="宋体" w:eastAsia="宋体" w:cs="宋体"/>
          <w:color w:val="auto"/>
          <w:sz w:val="28"/>
          <w:szCs w:val="28"/>
        </w:rPr>
        <w:t>联系方式</w:t>
      </w:r>
      <w:bookmarkEnd w:id="31"/>
      <w:bookmarkEnd w:id="32"/>
    </w:p>
    <w:p>
      <w:pPr>
        <w:widowControl w:val="0"/>
        <w:spacing w:line="360" w:lineRule="auto"/>
        <w:ind w:firstLine="840" w:firstLineChars="300"/>
        <w:jc w:val="both"/>
        <w:rPr>
          <w:rFonts w:ascii="宋体" w:hAnsi="宋体" w:eastAsia="宋体" w:cs="Times New Roman"/>
          <w:color w:val="auto"/>
          <w:kern w:val="2"/>
          <w:sz w:val="28"/>
          <w:szCs w:val="28"/>
          <w:lang w:val="en-US" w:eastAsia="zh-CN" w:bidi="ar-SA"/>
        </w:rPr>
      </w:pPr>
      <w:r>
        <w:rPr>
          <w:rFonts w:hint="eastAsia" w:ascii="宋体" w:hAnsi="宋体" w:eastAsia="宋体" w:cs="Times New Roman"/>
          <w:color w:val="auto"/>
          <w:kern w:val="2"/>
          <w:sz w:val="28"/>
          <w:szCs w:val="28"/>
          <w:lang w:val="en-US" w:eastAsia="zh-CN" w:bidi="ar-SA"/>
        </w:rPr>
        <w:t>项目联系人：</w:t>
      </w:r>
      <w:r>
        <w:rPr>
          <w:rFonts w:hint="eastAsia" w:ascii="宋体" w:hAnsi="宋体" w:eastAsia="宋体" w:cs="Times New Roman"/>
          <w:color w:val="auto"/>
          <w:kern w:val="2"/>
          <w:sz w:val="28"/>
          <w:szCs w:val="28"/>
          <w:u w:val="single"/>
          <w:lang w:val="en-US" w:eastAsia="zh-CN" w:bidi="ar-SA"/>
        </w:rPr>
        <w:t>田硕、成志凯、鲁智慧</w:t>
      </w:r>
    </w:p>
    <w:p>
      <w:pPr>
        <w:spacing w:line="360" w:lineRule="auto"/>
        <w:ind w:firstLine="840" w:firstLineChars="300"/>
        <w:rPr>
          <w:rFonts w:ascii="宋体" w:hAnsi="宋体" w:eastAsia="宋体" w:cs="Times New Roman"/>
          <w:color w:val="auto"/>
          <w:sz w:val="28"/>
          <w:szCs w:val="28"/>
          <w:u w:val="single"/>
        </w:rPr>
      </w:pPr>
      <w:r>
        <w:rPr>
          <w:rFonts w:hint="eastAsia" w:ascii="宋体" w:hAnsi="宋体" w:eastAsia="宋体" w:cs="Times New Roman"/>
          <w:color w:val="auto"/>
          <w:sz w:val="28"/>
          <w:szCs w:val="28"/>
        </w:rPr>
        <w:t>电　话：</w:t>
      </w:r>
      <w:r>
        <w:rPr>
          <w:rFonts w:hint="eastAsia" w:ascii="宋体" w:hAnsi="宋体" w:eastAsia="宋体" w:cs="Times New Roman"/>
          <w:color w:val="auto"/>
          <w:sz w:val="28"/>
          <w:szCs w:val="28"/>
          <w:u w:val="single"/>
        </w:rPr>
        <w:t>010-51909015</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001DF1"/>
    <w:rsid w:val="3166381B"/>
    <w:rsid w:val="51114981"/>
    <w:rsid w:val="587F2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qFormat/>
    <w:uiPriority w:val="0"/>
    <w:pPr>
      <w:widowControl w:val="0"/>
      <w:suppressAutoHyphens w:val="0"/>
      <w:autoSpaceDN/>
      <w:spacing w:after="120" w:line="240" w:lineRule="auto"/>
      <w:ind w:left="420" w:leftChars="200" w:firstLine="420" w:firstLineChars="200"/>
      <w:jc w:val="both"/>
      <w:textAlignment w:val="auto"/>
    </w:pPr>
    <w:rPr>
      <w:rFonts w:ascii="Times New Roman" w:hAnsi="Times New Roman" w:eastAsia="宋体" w:cs="Times New Roman"/>
      <w:kern w:val="2"/>
      <w:sz w:val="21"/>
      <w:szCs w:val="20"/>
      <w:lang w:val="en-US" w:eastAsia="zh-CN" w:bidi="ar-SA"/>
    </w:rPr>
  </w:style>
  <w:style w:type="paragraph" w:styleId="3">
    <w:name w:val="Body Text Indent"/>
    <w:qFormat/>
    <w:uiPriority w:val="99"/>
    <w:pPr>
      <w:widowControl w:val="0"/>
      <w:suppressAutoHyphens/>
      <w:autoSpaceDN w:val="0"/>
      <w:spacing w:line="360" w:lineRule="auto"/>
      <w:ind w:firstLine="570"/>
      <w:jc w:val="both"/>
      <w:textAlignment w:val="baseline"/>
    </w:pPr>
    <w:rPr>
      <w:rFonts w:ascii="Times New Roman" w:hAnsi="Times New Roman" w:eastAsia="宋体" w:cs="Times New Roman"/>
      <w:kern w:val="3"/>
      <w:sz w:val="24"/>
      <w:szCs w:val="24"/>
      <w:lang w:val="en-US" w:eastAsia="zh-CN" w:bidi="ar-SA"/>
    </w:rPr>
  </w:style>
  <w:style w:type="table" w:styleId="5">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2020-09-28T08:25:00Z</dcterms:created>
  <dc:creator>田硕</dc:creator>
  <cp:lastModifiedBy>此去经年</cp:lastModifiedBy>
  <dcterms:modified xsi:type="dcterms:W3CDTF">2020-11-20T08:58:05Z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