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 w:val="left" w:pos="3529"/>
          <w:tab w:val="center" w:pos="4153"/>
        </w:tabs>
        <w:autoSpaceDE w:val="0"/>
        <w:autoSpaceDN w:val="0"/>
        <w:adjustRightInd w:val="0"/>
        <w:spacing w:before="0" w:after="0" w:line="360" w:lineRule="auto"/>
        <w:jc w:val="center"/>
        <w:rPr>
          <w:rFonts w:ascii="宋体" w:hAnsi="宋体"/>
          <w:color w:val="auto"/>
          <w:sz w:val="36"/>
          <w:szCs w:val="36"/>
          <w:highlight w:val="none"/>
        </w:rPr>
      </w:pPr>
      <w:r>
        <w:rPr>
          <w:rFonts w:hint="eastAsia" w:ascii="宋体" w:hAnsi="宋体"/>
          <w:color w:val="auto"/>
          <w:sz w:val="36"/>
          <w:szCs w:val="36"/>
          <w:highlight w:val="none"/>
        </w:rPr>
        <w:t>中国农业科学院农产品加工研究所肉品品质形成与调控平台仪器设备购置项目空气处理设备招标项目</w:t>
      </w:r>
    </w:p>
    <w:p>
      <w:pPr>
        <w:pStyle w:val="4"/>
        <w:tabs>
          <w:tab w:val="left" w:pos="0"/>
          <w:tab w:val="left" w:pos="3529"/>
          <w:tab w:val="center" w:pos="4153"/>
        </w:tabs>
        <w:autoSpaceDE w:val="0"/>
        <w:autoSpaceDN w:val="0"/>
        <w:adjustRightInd w:val="0"/>
        <w:spacing w:before="0" w:after="0" w:line="360" w:lineRule="auto"/>
        <w:jc w:val="left"/>
        <w:rPr>
          <w:rFonts w:ascii="宋体" w:hAnsi="宋体"/>
          <w:color w:val="auto"/>
          <w:sz w:val="36"/>
          <w:szCs w:val="36"/>
          <w:highlight w:val="none"/>
        </w:rPr>
      </w:pPr>
      <w:r>
        <w:rPr>
          <w:rFonts w:ascii="宋体" w:hAnsi="宋体"/>
          <w:color w:val="auto"/>
          <w:sz w:val="36"/>
          <w:szCs w:val="36"/>
          <w:highlight w:val="none"/>
        </w:rPr>
        <w:tab/>
      </w:r>
      <w:bookmarkStart w:id="0" w:name="_Toc35393789"/>
      <w:bookmarkStart w:id="1" w:name="_Toc28359001"/>
      <w:r>
        <w:rPr>
          <w:rFonts w:hint="eastAsia" w:ascii="宋体" w:hAnsi="宋体"/>
          <w:color w:val="auto"/>
          <w:sz w:val="36"/>
          <w:szCs w:val="36"/>
          <w:highlight w:val="none"/>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宋体" w:hAnsi="宋体"/>
          <w:color w:val="auto"/>
          <w:sz w:val="28"/>
          <w:szCs w:val="28"/>
          <w:highlight w:val="none"/>
        </w:rPr>
      </w:pPr>
      <w:r>
        <w:rPr>
          <w:rFonts w:hint="eastAsia" w:ascii="宋体" w:hAnsi="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ascii="宋体" w:hAnsi="宋体"/>
          <w:color w:val="auto"/>
          <w:sz w:val="28"/>
          <w:szCs w:val="28"/>
          <w:highlight w:val="none"/>
        </w:rPr>
      </w:pPr>
      <w:r>
        <w:rPr>
          <w:rFonts w:hint="eastAsia" w:ascii="宋体" w:hAnsi="宋体"/>
          <w:color w:val="auto"/>
          <w:sz w:val="28"/>
          <w:szCs w:val="28"/>
          <w:highlight w:val="none"/>
          <w:u w:val="single"/>
        </w:rPr>
        <w:t>中国农业科学院农产品加工研究所肉品品质形成与调控平台仪器设备购置项目空气处理设备招标项目</w:t>
      </w:r>
      <w:r>
        <w:rPr>
          <w:rFonts w:hint="eastAsia" w:ascii="宋体" w:hAnsi="宋体"/>
          <w:color w:val="auto"/>
          <w:sz w:val="28"/>
          <w:szCs w:val="28"/>
          <w:highlight w:val="none"/>
        </w:rPr>
        <w:t>的潜在投标人应以</w:t>
      </w:r>
      <w:r>
        <w:rPr>
          <w:rFonts w:hint="eastAsia" w:ascii="宋体" w:hAnsi="宋体"/>
          <w:color w:val="auto"/>
          <w:sz w:val="28"/>
          <w:szCs w:val="28"/>
          <w:highlight w:val="none"/>
          <w:u w:val="single"/>
        </w:rPr>
        <w:t>现场购买或邮件形式</w:t>
      </w:r>
      <w:r>
        <w:rPr>
          <w:rFonts w:hint="eastAsia" w:ascii="宋体" w:hAnsi="宋体"/>
          <w:color w:val="auto"/>
          <w:sz w:val="28"/>
          <w:szCs w:val="28"/>
          <w:highlight w:val="none"/>
        </w:rPr>
        <w:t>获取招标文件，并于</w:t>
      </w:r>
      <w:r>
        <w:rPr>
          <w:rFonts w:ascii="宋体" w:hAnsi="宋体"/>
          <w:color w:val="auto"/>
          <w:sz w:val="28"/>
          <w:szCs w:val="28"/>
          <w:highlight w:val="none"/>
          <w:u w:val="single"/>
        </w:rPr>
        <w:t>2020</w:t>
      </w:r>
      <w:r>
        <w:rPr>
          <w:rFonts w:hint="eastAsia" w:ascii="宋体" w:hAnsi="宋体"/>
          <w:bCs/>
          <w:color w:val="auto"/>
          <w:sz w:val="28"/>
          <w:szCs w:val="28"/>
          <w:highlight w:val="none"/>
          <w:u w:val="single"/>
        </w:rPr>
        <w:t>年</w:t>
      </w:r>
      <w:r>
        <w:rPr>
          <w:rFonts w:hint="eastAsia" w:ascii="宋体" w:hAnsi="宋体"/>
          <w:bCs/>
          <w:color w:val="auto"/>
          <w:sz w:val="28"/>
          <w:szCs w:val="28"/>
          <w:highlight w:val="none"/>
          <w:u w:val="single"/>
          <w:lang w:val="en-US" w:eastAsia="zh-CN"/>
        </w:rPr>
        <w:t>09</w:t>
      </w:r>
      <w:r>
        <w:rPr>
          <w:rFonts w:hint="eastAsia" w:ascii="宋体" w:hAnsi="宋体"/>
          <w:bCs/>
          <w:color w:val="auto"/>
          <w:sz w:val="28"/>
          <w:szCs w:val="28"/>
          <w:highlight w:val="none"/>
          <w:u w:val="single"/>
        </w:rPr>
        <w:t>月</w:t>
      </w:r>
      <w:r>
        <w:rPr>
          <w:rFonts w:hint="eastAsia" w:ascii="宋体" w:hAnsi="宋体"/>
          <w:bCs/>
          <w:color w:val="auto"/>
          <w:sz w:val="28"/>
          <w:szCs w:val="28"/>
          <w:highlight w:val="none"/>
          <w:u w:val="single"/>
          <w:lang w:val="en-US" w:eastAsia="zh-CN"/>
        </w:rPr>
        <w:t>25</w:t>
      </w:r>
      <w:r>
        <w:rPr>
          <w:rFonts w:hint="eastAsia" w:ascii="宋体" w:hAnsi="宋体"/>
          <w:bCs/>
          <w:color w:val="auto"/>
          <w:sz w:val="28"/>
          <w:szCs w:val="28"/>
          <w:highlight w:val="none"/>
          <w:u w:val="single"/>
        </w:rPr>
        <w:t>日09点3</w:t>
      </w:r>
      <w:r>
        <w:rPr>
          <w:rFonts w:ascii="宋体" w:hAnsi="宋体"/>
          <w:bCs/>
          <w:color w:val="auto"/>
          <w:sz w:val="28"/>
          <w:szCs w:val="28"/>
          <w:highlight w:val="none"/>
          <w:u w:val="single"/>
        </w:rPr>
        <w:t>0</w:t>
      </w:r>
      <w:r>
        <w:rPr>
          <w:rFonts w:hint="eastAsia" w:ascii="宋体" w:hAnsi="宋体"/>
          <w:bCs/>
          <w:color w:val="auto"/>
          <w:sz w:val="28"/>
          <w:szCs w:val="28"/>
          <w:highlight w:val="none"/>
          <w:u w:val="single"/>
        </w:rPr>
        <w:t>分（北京时间）</w:t>
      </w:r>
      <w:r>
        <w:rPr>
          <w:rFonts w:hint="eastAsia" w:ascii="宋体" w:hAnsi="宋体"/>
          <w:bCs/>
          <w:color w:val="auto"/>
          <w:sz w:val="28"/>
          <w:szCs w:val="28"/>
          <w:highlight w:val="none"/>
        </w:rPr>
        <w:t>前递交投标</w:t>
      </w:r>
      <w:r>
        <w:rPr>
          <w:rFonts w:ascii="宋体" w:hAnsi="宋体"/>
          <w:bCs/>
          <w:color w:val="auto"/>
          <w:sz w:val="28"/>
          <w:szCs w:val="28"/>
          <w:highlight w:val="none"/>
        </w:rPr>
        <w:t>文件</w:t>
      </w:r>
      <w:r>
        <w:rPr>
          <w:rFonts w:hint="eastAsia" w:ascii="宋体" w:hAnsi="宋体"/>
          <w:color w:val="auto"/>
          <w:sz w:val="28"/>
          <w:szCs w:val="28"/>
          <w:highlight w:val="none"/>
        </w:rPr>
        <w:t>。</w:t>
      </w:r>
    </w:p>
    <w:p>
      <w:pPr>
        <w:pStyle w:val="5"/>
        <w:spacing w:line="240" w:lineRule="auto"/>
        <w:rPr>
          <w:rFonts w:ascii="宋体" w:hAnsi="宋体" w:eastAsia="宋体" w:cs="宋体"/>
          <w:b w:val="0"/>
          <w:color w:val="auto"/>
          <w:sz w:val="28"/>
          <w:szCs w:val="28"/>
          <w:highlight w:val="none"/>
        </w:rPr>
      </w:pPr>
      <w:bookmarkStart w:id="2" w:name="_Toc28359079"/>
      <w:bookmarkStart w:id="3" w:name="_Toc35393790"/>
      <w:bookmarkStart w:id="4" w:name="_Toc35393621"/>
      <w:bookmarkStart w:id="5" w:name="_Toc28359002"/>
      <w:bookmarkStart w:id="6" w:name="_Hlk24379207"/>
      <w:r>
        <w:rPr>
          <w:rFonts w:hint="eastAsia" w:ascii="宋体" w:hAnsi="宋体" w:eastAsia="宋体" w:cs="宋体"/>
          <w:b w:val="0"/>
          <w:color w:val="auto"/>
          <w:sz w:val="28"/>
          <w:szCs w:val="28"/>
          <w:highlight w:val="none"/>
        </w:rPr>
        <w:t>一、项目基本情况</w:t>
      </w:r>
      <w:bookmarkEnd w:id="2"/>
      <w:bookmarkEnd w:id="3"/>
      <w:bookmarkEnd w:id="4"/>
      <w:bookmarkEnd w:id="5"/>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招标编号：ZTXY-2020-H46252</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项目名称：</w:t>
      </w:r>
      <w:bookmarkEnd w:id="6"/>
      <w:r>
        <w:rPr>
          <w:rFonts w:hint="eastAsia" w:ascii="宋体" w:hAnsi="宋体"/>
          <w:color w:val="auto"/>
          <w:sz w:val="28"/>
          <w:szCs w:val="28"/>
          <w:highlight w:val="none"/>
        </w:rPr>
        <w:t>中国农业科学院农产品加工研究所肉品品质形成与调控平台仪器设备购置项目空气处理设备招标项目</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预算金额：人民币壹佰柒拾柒万元整（人民币1770000.00元）</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采购内容：为中国农业科学院农产品加工研究所中式肉类菜肴制品加工技术实验室购置由4台机组组成的1套空气处理系统来满足5387平方米实验室的空气处理需求，保证畜禽肉品质形成与保持关键技术及应用、传统肉制品绿色智能制造关键技术及应用和畜禽屠宰副产物高值化利用技术及应用研究等科研工作的安全有序开展。</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主要采购标的及简要技术需求（详见招标文件）：</w:t>
      </w:r>
    </w:p>
    <w:tbl>
      <w:tblPr>
        <w:tblStyle w:val="19"/>
        <w:tblW w:w="9181" w:type="dxa"/>
        <w:tblInd w:w="0" w:type="dxa"/>
        <w:tblLayout w:type="fixed"/>
        <w:tblCellMar>
          <w:top w:w="0" w:type="dxa"/>
          <w:left w:w="108" w:type="dxa"/>
          <w:bottom w:w="0" w:type="dxa"/>
          <w:right w:w="108" w:type="dxa"/>
        </w:tblCellMar>
      </w:tblPr>
      <w:tblGrid>
        <w:gridCol w:w="817"/>
        <w:gridCol w:w="1624"/>
        <w:gridCol w:w="2487"/>
        <w:gridCol w:w="1417"/>
        <w:gridCol w:w="1418"/>
        <w:gridCol w:w="1418"/>
      </w:tblGrid>
      <w:tr>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6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24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olor w:val="auto"/>
                <w:sz w:val="22"/>
                <w:szCs w:val="22"/>
                <w:highlight w:val="none"/>
              </w:rPr>
              <w:t>简要技术需求</w:t>
            </w: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是否接受进口</w:t>
            </w:r>
          </w:p>
        </w:tc>
      </w:tr>
      <w:tr>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ascii="宋体" w:hAnsi="宋体" w:cs="宋体"/>
                <w:color w:val="auto"/>
                <w:kern w:val="0"/>
                <w:sz w:val="22"/>
                <w:szCs w:val="22"/>
                <w:highlight w:val="none"/>
              </w:rPr>
              <w:t>1</w:t>
            </w:r>
          </w:p>
        </w:tc>
        <w:tc>
          <w:tcPr>
            <w:tcW w:w="16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变频新风处理机组</w:t>
            </w:r>
          </w:p>
        </w:tc>
        <w:tc>
          <w:tcPr>
            <w:tcW w:w="24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新风量：≥30000m</w:t>
            </w:r>
            <w:r>
              <w:rPr>
                <w:rFonts w:hint="eastAsia" w:ascii="宋体" w:hAnsi="宋体" w:cs="宋体"/>
                <w:color w:val="auto"/>
                <w:kern w:val="0"/>
                <w:sz w:val="22"/>
                <w:szCs w:val="22"/>
                <w:highlight w:val="none"/>
                <w:vertAlign w:val="superscript"/>
              </w:rPr>
              <w:t>3/</w:t>
            </w:r>
            <w:r>
              <w:rPr>
                <w:rFonts w:hint="eastAsia" w:ascii="宋体" w:hAnsi="宋体" w:cs="宋体"/>
                <w:color w:val="auto"/>
                <w:kern w:val="0"/>
                <w:sz w:val="22"/>
                <w:szCs w:val="22"/>
                <w:highlight w:val="none"/>
              </w:rPr>
              <w:t>h</w:t>
            </w: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否</w:t>
            </w:r>
          </w:p>
        </w:tc>
      </w:tr>
      <w:tr>
        <w:tblPrEx>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ascii="宋体" w:hAnsi="宋体" w:cs="宋体"/>
                <w:color w:val="auto"/>
                <w:kern w:val="0"/>
                <w:sz w:val="22"/>
                <w:szCs w:val="22"/>
                <w:highlight w:val="none"/>
              </w:rPr>
              <w:t>2</w:t>
            </w:r>
          </w:p>
        </w:tc>
        <w:tc>
          <w:tcPr>
            <w:tcW w:w="16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变频新风处理机组</w:t>
            </w:r>
          </w:p>
        </w:tc>
        <w:tc>
          <w:tcPr>
            <w:tcW w:w="24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新风量：≥20000m</w:t>
            </w:r>
            <w:r>
              <w:rPr>
                <w:rFonts w:hint="eastAsia" w:ascii="宋体" w:hAnsi="宋体" w:cs="宋体"/>
                <w:color w:val="auto"/>
                <w:kern w:val="0"/>
                <w:sz w:val="22"/>
                <w:szCs w:val="22"/>
                <w:highlight w:val="none"/>
                <w:vertAlign w:val="superscript"/>
              </w:rPr>
              <w:t>3</w:t>
            </w:r>
            <w:r>
              <w:rPr>
                <w:rFonts w:hint="eastAsia" w:ascii="宋体" w:hAnsi="宋体" w:cs="宋体"/>
                <w:color w:val="auto"/>
                <w:kern w:val="0"/>
                <w:sz w:val="22"/>
                <w:szCs w:val="22"/>
                <w:highlight w:val="none"/>
              </w:rPr>
              <w:t>/h</w:t>
            </w: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否</w:t>
            </w:r>
          </w:p>
        </w:tc>
      </w:tr>
      <w:tr>
        <w:tblPrEx>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ascii="宋体" w:hAnsi="宋体" w:cs="宋体"/>
                <w:color w:val="auto"/>
                <w:kern w:val="0"/>
                <w:sz w:val="22"/>
                <w:szCs w:val="22"/>
                <w:highlight w:val="none"/>
              </w:rPr>
              <w:t>3</w:t>
            </w:r>
          </w:p>
        </w:tc>
        <w:tc>
          <w:tcPr>
            <w:tcW w:w="16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变频新风处理机组</w:t>
            </w:r>
          </w:p>
        </w:tc>
        <w:tc>
          <w:tcPr>
            <w:tcW w:w="24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新风量：≥25000m</w:t>
            </w:r>
            <w:r>
              <w:rPr>
                <w:rFonts w:hint="eastAsia" w:ascii="宋体" w:hAnsi="宋体" w:cs="宋体"/>
                <w:color w:val="auto"/>
                <w:kern w:val="0"/>
                <w:sz w:val="22"/>
                <w:szCs w:val="22"/>
                <w:highlight w:val="none"/>
                <w:vertAlign w:val="superscript"/>
              </w:rPr>
              <w:t>3</w:t>
            </w:r>
            <w:r>
              <w:rPr>
                <w:rFonts w:hint="eastAsia" w:ascii="宋体" w:hAnsi="宋体" w:cs="宋体"/>
                <w:color w:val="auto"/>
                <w:kern w:val="0"/>
                <w:sz w:val="22"/>
                <w:szCs w:val="22"/>
                <w:highlight w:val="none"/>
              </w:rPr>
              <w:t>/h</w:t>
            </w: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否</w:t>
            </w:r>
          </w:p>
        </w:tc>
      </w:tr>
      <w:tr>
        <w:tblPrEx>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ascii="宋体" w:hAnsi="宋体" w:cs="宋体"/>
                <w:color w:val="auto"/>
                <w:kern w:val="0"/>
                <w:sz w:val="22"/>
                <w:szCs w:val="22"/>
                <w:highlight w:val="none"/>
              </w:rPr>
              <w:t>4</w:t>
            </w:r>
          </w:p>
        </w:tc>
        <w:tc>
          <w:tcPr>
            <w:tcW w:w="16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变频新风处理机组</w:t>
            </w:r>
          </w:p>
        </w:tc>
        <w:tc>
          <w:tcPr>
            <w:tcW w:w="24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新风量：≥10000m</w:t>
            </w:r>
            <w:r>
              <w:rPr>
                <w:rFonts w:hint="eastAsia" w:ascii="宋体" w:hAnsi="宋体" w:cs="宋体"/>
                <w:color w:val="auto"/>
                <w:kern w:val="0"/>
                <w:sz w:val="22"/>
                <w:szCs w:val="22"/>
                <w:highlight w:val="none"/>
                <w:vertAlign w:val="superscript"/>
              </w:rPr>
              <w:t>3</w:t>
            </w:r>
            <w:r>
              <w:rPr>
                <w:rFonts w:hint="eastAsia" w:ascii="宋体" w:hAnsi="宋体" w:cs="宋体"/>
                <w:color w:val="auto"/>
                <w:kern w:val="0"/>
                <w:sz w:val="22"/>
                <w:szCs w:val="22"/>
                <w:highlight w:val="none"/>
              </w:rPr>
              <w:t>/h</w:t>
            </w: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否</w:t>
            </w:r>
          </w:p>
        </w:tc>
      </w:tr>
      <w:tr>
        <w:tblPrEx>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6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安装、调试等相关产品等</w:t>
            </w:r>
          </w:p>
        </w:tc>
        <w:tc>
          <w:tcPr>
            <w:tcW w:w="24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安装、调试等相关产品等</w:t>
            </w: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批</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否</w:t>
            </w:r>
          </w:p>
        </w:tc>
      </w:tr>
    </w:tbl>
    <w:p>
      <w:pPr>
        <w:pStyle w:val="2"/>
        <w:rPr>
          <w:color w:val="auto"/>
          <w:highlight w:val="none"/>
        </w:rPr>
      </w:pP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合同履行期限：合同签订后，总工期不超过45个日历天，设备到货期 30个日历天，安装调试 15天。 </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实施地点：中国农业科学院农产品加工研究所中式肉类菜肴制品加工技术实验室。</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本项目不接受联合体投标。</w:t>
      </w:r>
    </w:p>
    <w:p>
      <w:pPr>
        <w:pStyle w:val="5"/>
        <w:spacing w:line="276" w:lineRule="auto"/>
        <w:rPr>
          <w:rFonts w:ascii="宋体" w:hAnsi="宋体" w:eastAsia="宋体" w:cs="宋体"/>
          <w:b w:val="0"/>
          <w:color w:val="auto"/>
          <w:sz w:val="28"/>
          <w:szCs w:val="28"/>
          <w:highlight w:val="none"/>
        </w:rPr>
      </w:pPr>
      <w:bookmarkStart w:id="7" w:name="_Toc28359080"/>
      <w:bookmarkStart w:id="8" w:name="_Toc35393791"/>
      <w:bookmarkStart w:id="9" w:name="_Toc28359003"/>
      <w:bookmarkStart w:id="10" w:name="_Toc35393622"/>
      <w:r>
        <w:rPr>
          <w:rFonts w:hint="eastAsia" w:ascii="宋体" w:hAnsi="宋体" w:eastAsia="宋体" w:cs="宋体"/>
          <w:b w:val="0"/>
          <w:color w:val="auto"/>
          <w:sz w:val="28"/>
          <w:szCs w:val="28"/>
          <w:highlight w:val="none"/>
        </w:rPr>
        <w:t>二、投标人的资格要求：</w:t>
      </w:r>
      <w:bookmarkEnd w:id="7"/>
      <w:bookmarkEnd w:id="8"/>
      <w:bookmarkEnd w:id="9"/>
      <w:bookmarkEnd w:id="10"/>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1.满足《中华人民共和国政府采购法》第二十二条规定；</w:t>
      </w:r>
    </w:p>
    <w:p>
      <w:pPr>
        <w:ind w:firstLine="560" w:firstLineChars="200"/>
        <w:rPr>
          <w:rFonts w:ascii="宋体" w:hAnsi="宋体"/>
          <w:color w:val="auto"/>
          <w:sz w:val="28"/>
          <w:szCs w:val="28"/>
          <w:highlight w:val="none"/>
        </w:rPr>
      </w:pPr>
      <w:bookmarkStart w:id="11" w:name="_Toc28359081"/>
      <w:bookmarkStart w:id="12" w:name="_Toc28359004"/>
      <w:r>
        <w:rPr>
          <w:rFonts w:ascii="宋体" w:hAnsi="宋体"/>
          <w:color w:val="auto"/>
          <w:sz w:val="28"/>
          <w:szCs w:val="28"/>
          <w:highlight w:val="none"/>
        </w:rPr>
        <w:t>2</w:t>
      </w:r>
      <w:r>
        <w:rPr>
          <w:rFonts w:hint="eastAsia" w:ascii="宋体" w:hAnsi="宋体"/>
          <w:color w:val="auto"/>
          <w:sz w:val="28"/>
          <w:szCs w:val="28"/>
          <w:highlight w:val="none"/>
        </w:rPr>
        <w:t>.落实政府采购政策需满足的资格要求：</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w:t>
      </w:r>
    </w:p>
    <w:p>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3.本项目的特定资格要求：</w:t>
      </w:r>
    </w:p>
    <w:p>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w:t>
      </w:r>
      <w:r>
        <w:rPr>
          <w:rFonts w:ascii="宋体" w:hAnsi="宋体"/>
          <w:color w:val="auto"/>
          <w:sz w:val="28"/>
          <w:szCs w:val="28"/>
          <w:highlight w:val="none"/>
        </w:rPr>
        <w:t>1</w:t>
      </w:r>
      <w:r>
        <w:rPr>
          <w:rFonts w:hint="eastAsia" w:ascii="宋体" w:hAnsi="宋体"/>
          <w:color w:val="auto"/>
          <w:sz w:val="28"/>
          <w:szCs w:val="28"/>
          <w:highlight w:val="none"/>
        </w:rPr>
        <w:t>）</w:t>
      </w:r>
      <w:r>
        <w:rPr>
          <w:rFonts w:hint="eastAsia" w:ascii="宋体" w:hAnsi="宋体"/>
          <w:color w:val="auto"/>
          <w:sz w:val="28"/>
          <w:szCs w:val="28"/>
          <w:highlight w:val="none"/>
          <w:u w:val="single"/>
        </w:rPr>
        <w:t>参加政府采购活动前三年内未被“信用中国”网站及“中国政府采购网”网站列入失信被执行人、重大税收违法案件当事人名单、政府采购严重违法失信行为记录名单的投标人（有上述处罚记录但处罚期已届满的，视为无记录）；</w:t>
      </w:r>
    </w:p>
    <w:p>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w:t>
      </w:r>
      <w:r>
        <w:rPr>
          <w:rFonts w:ascii="宋体" w:hAnsi="宋体"/>
          <w:color w:val="auto"/>
          <w:sz w:val="28"/>
          <w:szCs w:val="28"/>
          <w:highlight w:val="none"/>
        </w:rPr>
        <w:t>2</w:t>
      </w:r>
      <w:r>
        <w:rPr>
          <w:rFonts w:hint="eastAsia" w:ascii="宋体" w:hAnsi="宋体"/>
          <w:color w:val="auto"/>
          <w:sz w:val="28"/>
          <w:szCs w:val="28"/>
          <w:highlight w:val="none"/>
        </w:rPr>
        <w:t>）</w:t>
      </w:r>
      <w:r>
        <w:rPr>
          <w:rFonts w:hint="eastAsia" w:ascii="宋体" w:hAnsi="宋体"/>
          <w:color w:val="auto"/>
          <w:sz w:val="28"/>
          <w:szCs w:val="28"/>
          <w:highlight w:val="none"/>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ind w:firstLine="560" w:firstLineChars="200"/>
        <w:rPr>
          <w:rFonts w:hint="eastAsia" w:ascii="宋体" w:hAnsi="宋体"/>
          <w:color w:val="auto"/>
          <w:sz w:val="28"/>
          <w:szCs w:val="28"/>
          <w:highlight w:val="none"/>
          <w:u w:val="single"/>
          <w:lang w:eastAsia="zh-CN"/>
        </w:rPr>
      </w:pPr>
      <w:r>
        <w:rPr>
          <w:rFonts w:hint="eastAsia" w:ascii="宋体" w:hAnsi="宋体"/>
          <w:color w:val="auto"/>
          <w:sz w:val="28"/>
          <w:szCs w:val="28"/>
          <w:highlight w:val="none"/>
        </w:rPr>
        <w:t>（3）</w:t>
      </w:r>
      <w:bookmarkStart w:id="33" w:name="_GoBack"/>
      <w:r>
        <w:rPr>
          <w:rFonts w:hint="eastAsia" w:ascii="宋体" w:hAnsi="宋体"/>
          <w:color w:val="auto"/>
          <w:sz w:val="28"/>
          <w:szCs w:val="28"/>
          <w:highlight w:val="none"/>
          <w:u w:val="single"/>
        </w:rPr>
        <w:t>已在采购代理机构领取招标文件的投标人</w:t>
      </w:r>
      <w:r>
        <w:rPr>
          <w:rFonts w:hint="eastAsia" w:ascii="宋体" w:hAnsi="宋体"/>
          <w:color w:val="auto"/>
          <w:sz w:val="28"/>
          <w:szCs w:val="28"/>
          <w:highlight w:val="none"/>
          <w:u w:val="single"/>
          <w:lang w:eastAsia="zh-CN"/>
        </w:rPr>
        <w:t>。</w:t>
      </w:r>
    </w:p>
    <w:bookmarkEnd w:id="33"/>
    <w:p>
      <w:pPr>
        <w:ind w:firstLine="560" w:firstLineChars="200"/>
        <w:rPr>
          <w:rFonts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lang w:eastAsia="zh-CN"/>
        </w:rPr>
        <w:t>）</w:t>
      </w:r>
      <w:r>
        <w:rPr>
          <w:rFonts w:hint="eastAsia" w:ascii="宋体" w:hAnsi="宋体"/>
          <w:color w:val="auto"/>
          <w:sz w:val="28"/>
          <w:szCs w:val="28"/>
          <w:highlight w:val="none"/>
          <w:u w:val="single"/>
        </w:rPr>
        <w:t>具备建筑机电安装工程专业承包三级（含）以上资质，且具有有效的安全生产许可证。</w:t>
      </w:r>
    </w:p>
    <w:p>
      <w:pPr>
        <w:pStyle w:val="5"/>
        <w:spacing w:line="360" w:lineRule="auto"/>
        <w:rPr>
          <w:rFonts w:ascii="宋体" w:hAnsi="宋体" w:eastAsia="宋体" w:cs="宋体"/>
          <w:b w:val="0"/>
          <w:color w:val="auto"/>
          <w:sz w:val="28"/>
          <w:szCs w:val="28"/>
          <w:highlight w:val="none"/>
        </w:rPr>
      </w:pPr>
      <w:bookmarkStart w:id="13" w:name="_Toc35393623"/>
      <w:bookmarkStart w:id="14" w:name="_Toc35393792"/>
      <w:r>
        <w:rPr>
          <w:rFonts w:hint="eastAsia" w:ascii="宋体" w:hAnsi="宋体" w:eastAsia="宋体" w:cs="宋体"/>
          <w:b w:val="0"/>
          <w:color w:val="auto"/>
          <w:sz w:val="28"/>
          <w:szCs w:val="28"/>
          <w:highlight w:val="none"/>
        </w:rPr>
        <w:t>三、获取招标文件</w:t>
      </w:r>
      <w:bookmarkEnd w:id="11"/>
      <w:bookmarkEnd w:id="12"/>
      <w:bookmarkEnd w:id="13"/>
      <w:bookmarkEnd w:id="14"/>
    </w:p>
    <w:p>
      <w:pPr>
        <w:spacing w:line="360" w:lineRule="auto"/>
        <w:ind w:firstLine="540"/>
        <w:rPr>
          <w:rFonts w:ascii="宋体" w:hAnsi="宋体" w:cs="宋体"/>
          <w:color w:val="auto"/>
          <w:sz w:val="28"/>
          <w:szCs w:val="28"/>
          <w:highlight w:val="none"/>
        </w:rPr>
      </w:pPr>
      <w:r>
        <w:rPr>
          <w:rFonts w:hint="eastAsia" w:ascii="宋体" w:hAnsi="宋体" w:cs="宋体"/>
          <w:color w:val="auto"/>
          <w:sz w:val="28"/>
          <w:szCs w:val="28"/>
          <w:highlight w:val="none"/>
        </w:rPr>
        <w:t>时间：</w:t>
      </w:r>
      <w:r>
        <w:rPr>
          <w:rFonts w:ascii="宋体" w:hAnsi="宋体" w:cs="宋体"/>
          <w:color w:val="auto"/>
          <w:sz w:val="28"/>
          <w:szCs w:val="28"/>
          <w:highlight w:val="none"/>
          <w:u w:val="single"/>
        </w:rPr>
        <w:t>2020</w:t>
      </w:r>
      <w:r>
        <w:rPr>
          <w:rFonts w:hint="eastAsia" w:ascii="宋体" w:hAnsi="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09</w:t>
      </w:r>
      <w:r>
        <w:rPr>
          <w:rFonts w:hint="eastAsia" w:ascii="宋体" w:hAnsi="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04</w:t>
      </w:r>
      <w:r>
        <w:rPr>
          <w:rFonts w:hint="eastAsia" w:ascii="宋体" w:hAnsi="宋体" w:cs="宋体"/>
          <w:color w:val="auto"/>
          <w:sz w:val="28"/>
          <w:szCs w:val="28"/>
          <w:highlight w:val="none"/>
          <w:u w:val="single"/>
        </w:rPr>
        <w:t>日</w:t>
      </w:r>
      <w:r>
        <w:rPr>
          <w:rFonts w:hint="eastAsia" w:ascii="宋体" w:hAnsi="宋体" w:cs="宋体"/>
          <w:color w:val="auto"/>
          <w:sz w:val="28"/>
          <w:szCs w:val="28"/>
          <w:highlight w:val="none"/>
        </w:rPr>
        <w:t>至</w:t>
      </w:r>
      <w:r>
        <w:rPr>
          <w:rFonts w:ascii="宋体" w:hAnsi="宋体" w:cs="宋体"/>
          <w:color w:val="auto"/>
          <w:sz w:val="28"/>
          <w:szCs w:val="28"/>
          <w:highlight w:val="none"/>
          <w:u w:val="single"/>
        </w:rPr>
        <w:t>2020</w:t>
      </w:r>
      <w:r>
        <w:rPr>
          <w:rFonts w:hint="eastAsia" w:ascii="宋体" w:hAnsi="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09</w:t>
      </w:r>
      <w:r>
        <w:rPr>
          <w:rFonts w:hint="eastAsia" w:ascii="宋体" w:hAnsi="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11</w:t>
      </w:r>
      <w:r>
        <w:rPr>
          <w:rFonts w:hint="eastAsia" w:ascii="宋体" w:hAnsi="宋体" w:cs="宋体"/>
          <w:color w:val="auto"/>
          <w:sz w:val="28"/>
          <w:szCs w:val="28"/>
          <w:highlight w:val="none"/>
          <w:u w:val="single"/>
        </w:rPr>
        <w:t>日</w:t>
      </w:r>
      <w:r>
        <w:rPr>
          <w:rFonts w:hint="eastAsia" w:ascii="宋体" w:hAnsi="宋体" w:cs="宋体"/>
          <w:color w:val="auto"/>
          <w:sz w:val="28"/>
          <w:szCs w:val="28"/>
          <w:highlight w:val="none"/>
        </w:rPr>
        <w:t>，每天8:30-16:30（北京时间，</w:t>
      </w:r>
      <w:r>
        <w:rPr>
          <w:rFonts w:ascii="宋体" w:hAnsi="宋体" w:cs="宋体"/>
          <w:color w:val="auto"/>
          <w:sz w:val="28"/>
          <w:szCs w:val="28"/>
          <w:highlight w:val="none"/>
        </w:rPr>
        <w:t>法定节假日</w:t>
      </w:r>
      <w:r>
        <w:rPr>
          <w:rFonts w:hint="eastAsia" w:ascii="宋体" w:hAnsi="宋体" w:cs="宋体"/>
          <w:color w:val="auto"/>
          <w:sz w:val="28"/>
          <w:szCs w:val="28"/>
          <w:highlight w:val="none"/>
        </w:rPr>
        <w:t>除外）</w:t>
      </w:r>
    </w:p>
    <w:p>
      <w:pPr>
        <w:spacing w:line="360" w:lineRule="auto"/>
        <w:ind w:firstLine="540"/>
        <w:rPr>
          <w:rFonts w:ascii="宋体" w:hAnsi="宋体" w:cs="宋体"/>
          <w:color w:val="auto"/>
          <w:sz w:val="28"/>
          <w:szCs w:val="28"/>
          <w:highlight w:val="none"/>
          <w:u w:val="single"/>
        </w:rPr>
      </w:pPr>
      <w:r>
        <w:rPr>
          <w:rFonts w:hint="eastAsia" w:ascii="宋体" w:hAnsi="宋体" w:cs="宋体"/>
          <w:color w:val="auto"/>
          <w:sz w:val="28"/>
          <w:szCs w:val="28"/>
          <w:highlight w:val="none"/>
        </w:rPr>
        <w:t>地点：</w:t>
      </w:r>
      <w:r>
        <w:rPr>
          <w:rFonts w:hint="eastAsia" w:ascii="宋体" w:hAnsi="宋体" w:cs="宋体"/>
          <w:color w:val="auto"/>
          <w:sz w:val="28"/>
          <w:szCs w:val="28"/>
          <w:highlight w:val="none"/>
          <w:u w:val="single"/>
        </w:rPr>
        <w:t>北京市朝阳区南磨房路37号华腾北搪商务大厦111</w:t>
      </w:r>
      <w:r>
        <w:rPr>
          <w:rFonts w:ascii="宋体" w:hAnsi="宋体" w:cs="宋体"/>
          <w:color w:val="auto"/>
          <w:sz w:val="28"/>
          <w:szCs w:val="28"/>
          <w:highlight w:val="none"/>
          <w:u w:val="single"/>
        </w:rPr>
        <w:t>2</w:t>
      </w:r>
      <w:r>
        <w:rPr>
          <w:rFonts w:hint="eastAsia" w:ascii="宋体" w:hAnsi="宋体" w:cs="宋体"/>
          <w:color w:val="auto"/>
          <w:sz w:val="28"/>
          <w:szCs w:val="28"/>
          <w:highlight w:val="none"/>
          <w:u w:val="single"/>
        </w:rPr>
        <w:t>室。</w:t>
      </w:r>
    </w:p>
    <w:p>
      <w:pPr>
        <w:spacing w:line="360" w:lineRule="auto"/>
        <w:ind w:firstLine="540"/>
        <w:rPr>
          <w:rFonts w:ascii="宋体" w:hAnsi="宋体"/>
          <w:color w:val="auto"/>
          <w:sz w:val="28"/>
          <w:szCs w:val="28"/>
          <w:highlight w:val="none"/>
          <w:u w:val="single"/>
        </w:rPr>
      </w:pPr>
      <w:r>
        <w:rPr>
          <w:rFonts w:hint="eastAsia" w:ascii="宋体" w:hAnsi="宋体" w:cs="宋体"/>
          <w:color w:val="auto"/>
          <w:sz w:val="28"/>
          <w:szCs w:val="28"/>
          <w:highlight w:val="none"/>
        </w:rPr>
        <w:t>方式：</w:t>
      </w:r>
      <w:r>
        <w:rPr>
          <w:rFonts w:hint="eastAsia" w:ascii="宋体" w:hAnsi="宋体" w:cs="宋体"/>
          <w:color w:val="auto"/>
          <w:sz w:val="28"/>
          <w:szCs w:val="28"/>
          <w:highlight w:val="none"/>
          <w:u w:val="single"/>
        </w:rPr>
        <w:t>现场购买或邮件方式购买。疫情期间，可采用邮件方式获取招标文件。投标人在本公告附件下载电子版报名登记表（或联系招标代理工作人员获取报名登记表，联系人孙兴旺15116933805/成志凯13426200868），并于招标文件发售截止时间前，</w:t>
      </w:r>
      <w:r>
        <w:rPr>
          <w:rFonts w:hint="eastAsia" w:ascii="宋体" w:hAnsi="宋体" w:cs="宋体"/>
          <w:b/>
          <w:bCs/>
          <w:color w:val="auto"/>
          <w:sz w:val="28"/>
          <w:szCs w:val="28"/>
          <w:highlight w:val="none"/>
          <w:u w:val="single"/>
        </w:rPr>
        <w:t>将填写好的报名登记表（注：如报名登记表是电脑录入信息的，需打印出来，加盖单位公章进行扫描）、保证金账户信息登记表、支付标书款凭证的扫描件PDF版本以及本单位开票信息发至邮箱850631339@qq.com。</w:t>
      </w:r>
      <w:r>
        <w:rPr>
          <w:rFonts w:hint="eastAsia" w:ascii="宋体" w:hAnsi="宋体" w:cs="宋体"/>
          <w:color w:val="auto"/>
          <w:sz w:val="28"/>
          <w:szCs w:val="28"/>
          <w:highlight w:val="none"/>
          <w:u w:val="single"/>
        </w:rPr>
        <w:t>以标书款到账时间为准，逾期报名无效。</w:t>
      </w:r>
      <w:r>
        <w:rPr>
          <w:rFonts w:hint="eastAsia" w:ascii="宋体" w:hAnsi="宋体"/>
          <w:color w:val="auto"/>
          <w:sz w:val="28"/>
          <w:szCs w:val="28"/>
          <w:highlight w:val="none"/>
          <w:u w:val="single"/>
        </w:rPr>
        <w:t>开户银行：中国银行北京劲松东口支行，账号：346756034237。</w:t>
      </w:r>
      <w:r>
        <w:rPr>
          <w:rFonts w:hint="eastAsia" w:ascii="宋体" w:hAnsi="宋体"/>
          <w:b/>
          <w:bCs/>
          <w:color w:val="auto"/>
          <w:sz w:val="28"/>
          <w:szCs w:val="28"/>
          <w:highlight w:val="none"/>
          <w:u w:val="single"/>
        </w:rPr>
        <w:t>只接受公对公转账。</w:t>
      </w:r>
    </w:p>
    <w:p>
      <w:pPr>
        <w:spacing w:line="360" w:lineRule="auto"/>
        <w:ind w:firstLine="540"/>
        <w:rPr>
          <w:rFonts w:ascii="宋体" w:hAnsi="宋体" w:cs="宋体"/>
          <w:color w:val="auto"/>
          <w:sz w:val="28"/>
          <w:szCs w:val="28"/>
          <w:highlight w:val="none"/>
        </w:rPr>
      </w:pPr>
      <w:r>
        <w:rPr>
          <w:rFonts w:hint="eastAsia" w:ascii="宋体" w:hAnsi="宋体" w:cs="宋体"/>
          <w:color w:val="auto"/>
          <w:sz w:val="28"/>
          <w:szCs w:val="28"/>
          <w:highlight w:val="none"/>
        </w:rPr>
        <w:t>售价：人民币500元。招标文件售后不退。</w:t>
      </w:r>
    </w:p>
    <w:p>
      <w:pPr>
        <w:pStyle w:val="5"/>
        <w:spacing w:line="360" w:lineRule="auto"/>
        <w:rPr>
          <w:rFonts w:ascii="宋体" w:hAnsi="宋体" w:eastAsia="宋体" w:cs="宋体"/>
          <w:b w:val="0"/>
          <w:color w:val="auto"/>
          <w:sz w:val="28"/>
          <w:szCs w:val="28"/>
          <w:highlight w:val="none"/>
        </w:rPr>
      </w:pPr>
      <w:bookmarkStart w:id="15" w:name="_Toc28359082"/>
      <w:bookmarkStart w:id="16" w:name="_Toc28359005"/>
      <w:bookmarkStart w:id="17" w:name="_Toc35393624"/>
      <w:bookmarkStart w:id="18" w:name="_Toc35393793"/>
      <w:r>
        <w:rPr>
          <w:rFonts w:hint="eastAsia" w:ascii="宋体" w:hAnsi="宋体" w:eastAsia="宋体" w:cs="宋体"/>
          <w:b w:val="0"/>
          <w:color w:val="auto"/>
          <w:sz w:val="28"/>
          <w:szCs w:val="28"/>
          <w:highlight w:val="none"/>
        </w:rPr>
        <w:t>四、提交投标文件</w:t>
      </w:r>
      <w:bookmarkEnd w:id="15"/>
      <w:bookmarkEnd w:id="16"/>
      <w:r>
        <w:rPr>
          <w:rFonts w:hint="eastAsia" w:ascii="宋体" w:hAnsi="宋体" w:eastAsia="宋体" w:cs="宋体"/>
          <w:b w:val="0"/>
          <w:color w:val="auto"/>
          <w:sz w:val="28"/>
          <w:szCs w:val="28"/>
          <w:highlight w:val="none"/>
        </w:rPr>
        <w:t>截止时间、开标时间和地点</w:t>
      </w:r>
      <w:bookmarkEnd w:id="17"/>
      <w:bookmarkEnd w:id="18"/>
    </w:p>
    <w:p>
      <w:pPr>
        <w:ind w:firstLine="560" w:firstLineChars="200"/>
        <w:rPr>
          <w:rFonts w:ascii="宋体" w:hAnsi="宋体"/>
          <w:bCs/>
          <w:color w:val="auto"/>
          <w:sz w:val="28"/>
          <w:szCs w:val="28"/>
          <w:highlight w:val="none"/>
          <w:u w:val="single"/>
        </w:rPr>
      </w:pPr>
      <w:r>
        <w:rPr>
          <w:rFonts w:hint="eastAsia" w:ascii="宋体" w:hAnsi="宋体" w:cs="宋体"/>
          <w:color w:val="auto"/>
          <w:sz w:val="28"/>
          <w:szCs w:val="28"/>
          <w:highlight w:val="none"/>
        </w:rPr>
        <w:t>提交投标文件截止时间、开标时间：</w:t>
      </w:r>
      <w:r>
        <w:rPr>
          <w:rFonts w:ascii="宋体" w:hAnsi="宋体"/>
          <w:color w:val="auto"/>
          <w:sz w:val="28"/>
          <w:szCs w:val="28"/>
          <w:highlight w:val="none"/>
        </w:rPr>
        <w:t>2020</w:t>
      </w:r>
      <w:r>
        <w:rPr>
          <w:rFonts w:hint="eastAsia" w:ascii="宋体" w:hAnsi="宋体"/>
          <w:bCs/>
          <w:color w:val="auto"/>
          <w:sz w:val="28"/>
          <w:szCs w:val="28"/>
          <w:highlight w:val="none"/>
        </w:rPr>
        <w:t>年</w:t>
      </w:r>
      <w:r>
        <w:rPr>
          <w:rFonts w:hint="eastAsia" w:ascii="宋体" w:hAnsi="宋体"/>
          <w:bCs/>
          <w:color w:val="auto"/>
          <w:sz w:val="28"/>
          <w:szCs w:val="28"/>
          <w:highlight w:val="none"/>
          <w:lang w:val="en-US" w:eastAsia="zh-CN"/>
        </w:rPr>
        <w:t>09</w:t>
      </w:r>
      <w:r>
        <w:rPr>
          <w:rFonts w:hint="eastAsia" w:ascii="宋体" w:hAnsi="宋体"/>
          <w:bCs/>
          <w:color w:val="auto"/>
          <w:sz w:val="28"/>
          <w:szCs w:val="28"/>
          <w:highlight w:val="none"/>
        </w:rPr>
        <w:t>月</w:t>
      </w:r>
      <w:r>
        <w:rPr>
          <w:rFonts w:hint="eastAsia" w:ascii="宋体" w:hAnsi="宋体"/>
          <w:bCs/>
          <w:color w:val="auto"/>
          <w:sz w:val="28"/>
          <w:szCs w:val="28"/>
          <w:highlight w:val="none"/>
          <w:lang w:val="en-US" w:eastAsia="zh-CN"/>
        </w:rPr>
        <w:t>25</w:t>
      </w:r>
      <w:r>
        <w:rPr>
          <w:rFonts w:hint="eastAsia" w:ascii="宋体" w:hAnsi="宋体"/>
          <w:bCs/>
          <w:color w:val="auto"/>
          <w:sz w:val="28"/>
          <w:szCs w:val="28"/>
          <w:highlight w:val="none"/>
        </w:rPr>
        <w:t>日09点3</w:t>
      </w:r>
      <w:r>
        <w:rPr>
          <w:rFonts w:ascii="宋体" w:hAnsi="宋体"/>
          <w:bCs/>
          <w:color w:val="auto"/>
          <w:sz w:val="28"/>
          <w:szCs w:val="28"/>
          <w:highlight w:val="none"/>
        </w:rPr>
        <w:t>0</w:t>
      </w:r>
      <w:r>
        <w:rPr>
          <w:rFonts w:hint="eastAsia" w:ascii="宋体" w:hAnsi="宋体"/>
          <w:bCs/>
          <w:color w:val="auto"/>
          <w:sz w:val="28"/>
          <w:szCs w:val="28"/>
          <w:highlight w:val="none"/>
        </w:rPr>
        <w:t>分（北京时间）。</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地点：</w:t>
      </w:r>
      <w:r>
        <w:rPr>
          <w:rFonts w:hint="eastAsia" w:ascii="宋体" w:hAnsi="宋体"/>
          <w:color w:val="auto"/>
          <w:sz w:val="28"/>
          <w:szCs w:val="28"/>
          <w:highlight w:val="none"/>
          <w:u w:val="single"/>
        </w:rPr>
        <w:t>北京市朝阳区南磨房路3</w:t>
      </w:r>
      <w:r>
        <w:rPr>
          <w:rFonts w:ascii="宋体" w:hAnsi="宋体"/>
          <w:color w:val="auto"/>
          <w:sz w:val="28"/>
          <w:szCs w:val="28"/>
          <w:highlight w:val="none"/>
          <w:u w:val="single"/>
        </w:rPr>
        <w:t>7</w:t>
      </w:r>
      <w:r>
        <w:rPr>
          <w:rFonts w:hint="eastAsia" w:ascii="宋体" w:hAnsi="宋体"/>
          <w:color w:val="auto"/>
          <w:sz w:val="28"/>
          <w:szCs w:val="28"/>
          <w:highlight w:val="none"/>
          <w:u w:val="single"/>
        </w:rPr>
        <w:t>号华腾北搪商务大厦1</w:t>
      </w:r>
      <w:r>
        <w:rPr>
          <w:rFonts w:ascii="宋体" w:hAnsi="宋体"/>
          <w:color w:val="auto"/>
          <w:sz w:val="28"/>
          <w:szCs w:val="28"/>
          <w:highlight w:val="none"/>
          <w:u w:val="single"/>
        </w:rPr>
        <w:t>1</w:t>
      </w:r>
      <w:r>
        <w:rPr>
          <w:rFonts w:hint="eastAsia" w:ascii="宋体" w:hAnsi="宋体"/>
          <w:color w:val="auto"/>
          <w:sz w:val="28"/>
          <w:szCs w:val="28"/>
          <w:highlight w:val="none"/>
          <w:u w:val="single"/>
        </w:rPr>
        <w:t>层</w:t>
      </w:r>
      <w:r>
        <w:rPr>
          <w:rFonts w:hint="eastAsia" w:ascii="宋体" w:hAnsi="宋体"/>
          <w:color w:val="auto"/>
          <w:sz w:val="28"/>
          <w:szCs w:val="28"/>
          <w:highlight w:val="none"/>
          <w:u w:val="single"/>
          <w:lang w:val="en-US" w:eastAsia="zh-CN"/>
        </w:rPr>
        <w:t>1113</w:t>
      </w:r>
      <w:r>
        <w:rPr>
          <w:rFonts w:hint="eastAsia" w:ascii="宋体" w:hAnsi="宋体"/>
          <w:color w:val="auto"/>
          <w:sz w:val="28"/>
          <w:szCs w:val="28"/>
          <w:highlight w:val="none"/>
          <w:u w:val="single"/>
        </w:rPr>
        <w:t>室</w:t>
      </w:r>
      <w:r>
        <w:rPr>
          <w:rFonts w:hint="eastAsia" w:ascii="宋体" w:hAnsi="宋体"/>
          <w:color w:val="auto"/>
          <w:sz w:val="28"/>
          <w:szCs w:val="28"/>
          <w:highlight w:val="none"/>
        </w:rPr>
        <w:t xml:space="preserve">。 </w:t>
      </w:r>
    </w:p>
    <w:p>
      <w:pPr>
        <w:pStyle w:val="5"/>
        <w:spacing w:line="360" w:lineRule="auto"/>
        <w:rPr>
          <w:rFonts w:ascii="宋体" w:hAnsi="宋体" w:eastAsia="宋体" w:cs="宋体"/>
          <w:b w:val="0"/>
          <w:color w:val="auto"/>
          <w:sz w:val="28"/>
          <w:szCs w:val="28"/>
          <w:highlight w:val="none"/>
        </w:rPr>
      </w:pPr>
      <w:bookmarkStart w:id="19" w:name="_Toc28359084"/>
      <w:bookmarkStart w:id="20" w:name="_Toc35393625"/>
      <w:bookmarkStart w:id="21" w:name="_Toc35393794"/>
      <w:bookmarkStart w:id="22" w:name="_Toc28359007"/>
      <w:r>
        <w:rPr>
          <w:rFonts w:hint="eastAsia" w:ascii="宋体" w:hAnsi="宋体" w:eastAsia="宋体" w:cs="宋体"/>
          <w:b w:val="0"/>
          <w:color w:val="auto"/>
          <w:sz w:val="28"/>
          <w:szCs w:val="28"/>
          <w:highlight w:val="none"/>
        </w:rPr>
        <w:t>五、公告期限</w:t>
      </w:r>
      <w:bookmarkEnd w:id="19"/>
      <w:bookmarkEnd w:id="20"/>
      <w:bookmarkEnd w:id="21"/>
      <w:bookmarkEnd w:id="22"/>
    </w:p>
    <w:p>
      <w:pPr>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自本公告发布之日起5个工作日。</w:t>
      </w:r>
    </w:p>
    <w:p>
      <w:pPr>
        <w:pStyle w:val="5"/>
        <w:spacing w:line="360" w:lineRule="auto"/>
        <w:rPr>
          <w:rFonts w:ascii="宋体" w:hAnsi="宋体" w:eastAsia="宋体" w:cs="宋体"/>
          <w:b w:val="0"/>
          <w:color w:val="auto"/>
          <w:sz w:val="28"/>
          <w:szCs w:val="28"/>
          <w:highlight w:val="none"/>
        </w:rPr>
      </w:pPr>
      <w:bookmarkStart w:id="23" w:name="_Toc35393626"/>
      <w:bookmarkStart w:id="24" w:name="_Toc35393795"/>
      <w:r>
        <w:rPr>
          <w:rFonts w:hint="eastAsia" w:ascii="宋体" w:hAnsi="宋体" w:eastAsia="宋体" w:cs="宋体"/>
          <w:b w:val="0"/>
          <w:color w:val="auto"/>
          <w:sz w:val="28"/>
          <w:szCs w:val="28"/>
          <w:highlight w:val="none"/>
        </w:rPr>
        <w:t>六、其他补充事宜</w:t>
      </w:r>
      <w:bookmarkEnd w:id="23"/>
      <w:bookmarkEnd w:id="24"/>
    </w:p>
    <w:p>
      <w:pPr>
        <w:pStyle w:val="35"/>
        <w:ind w:left="495" w:firstLine="0" w:firstLineChars="0"/>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采购项目需要落实的政府采购政策：节约能源、保护环境、扶持不发达地区和少数民族地区、促进中小企业发展、支持监狱企业发展、促进残疾人就业、优先采购贫困地区农副产品等政府采购政策。</w:t>
      </w:r>
    </w:p>
    <w:p>
      <w:pPr>
        <w:pStyle w:val="35"/>
        <w:ind w:left="495" w:firstLine="0" w:firstLineChars="0"/>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评分方法：综合评分法。</w:t>
      </w:r>
    </w:p>
    <w:p>
      <w:pPr>
        <w:pStyle w:val="35"/>
        <w:ind w:left="495" w:firstLine="0" w:firstLineChars="0"/>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疫情期间投标人只能派一到两名授权代表佩戴口罩出席开标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参与本项目的投标人不得派境外及国内高中风险地区返京隔离未满14天、近期有疫情接触史或有发烧或咳嗽症状的人员参加本次开标会议。</w:t>
      </w:r>
    </w:p>
    <w:p>
      <w:pPr>
        <w:pStyle w:val="5"/>
        <w:spacing w:line="360" w:lineRule="auto"/>
        <w:rPr>
          <w:rFonts w:ascii="宋体" w:hAnsi="宋体" w:eastAsia="宋体" w:cs="宋体"/>
          <w:b w:val="0"/>
          <w:color w:val="auto"/>
          <w:sz w:val="28"/>
          <w:szCs w:val="28"/>
          <w:highlight w:val="none"/>
        </w:rPr>
      </w:pPr>
      <w:bookmarkStart w:id="25" w:name="_Toc28359085"/>
      <w:bookmarkStart w:id="26" w:name="_Toc35393627"/>
      <w:bookmarkStart w:id="27" w:name="_Toc35393796"/>
      <w:bookmarkStart w:id="28" w:name="_Toc28359008"/>
      <w:r>
        <w:rPr>
          <w:rFonts w:hint="eastAsia" w:ascii="宋体" w:hAnsi="宋体" w:eastAsia="宋体" w:cs="宋体"/>
          <w:b w:val="0"/>
          <w:color w:val="auto"/>
          <w:sz w:val="28"/>
          <w:szCs w:val="28"/>
          <w:highlight w:val="none"/>
        </w:rPr>
        <w:t>七、对本次招标提出询问，请按</w:t>
      </w:r>
      <w:r>
        <w:rPr>
          <w:rFonts w:ascii="宋体" w:hAnsi="宋体" w:eastAsia="宋体" w:cs="宋体"/>
          <w:b w:val="0"/>
          <w:color w:val="auto"/>
          <w:sz w:val="28"/>
          <w:szCs w:val="28"/>
          <w:highlight w:val="none"/>
        </w:rPr>
        <w:t>以下方式</w:t>
      </w:r>
      <w:r>
        <w:rPr>
          <w:rFonts w:hint="eastAsia" w:ascii="宋体" w:hAnsi="宋体" w:eastAsia="宋体" w:cs="宋体"/>
          <w:b w:val="0"/>
          <w:color w:val="auto"/>
          <w:sz w:val="28"/>
          <w:szCs w:val="28"/>
          <w:highlight w:val="none"/>
        </w:rPr>
        <w:t>联系。</w:t>
      </w:r>
      <w:bookmarkEnd w:id="25"/>
      <w:bookmarkEnd w:id="26"/>
      <w:bookmarkEnd w:id="27"/>
      <w:bookmarkEnd w:id="28"/>
    </w:p>
    <w:p>
      <w:pPr>
        <w:widowControl/>
        <w:jc w:val="left"/>
        <w:rPr>
          <w:rFonts w:ascii="宋体" w:hAnsi="宋体"/>
          <w:color w:val="auto"/>
          <w:sz w:val="28"/>
          <w:szCs w:val="28"/>
          <w:highlight w:val="none"/>
        </w:rPr>
      </w:pPr>
      <w:r>
        <w:rPr>
          <w:rFonts w:hint="eastAsia" w:ascii="宋体" w:hAnsi="宋体" w:cs="宋体"/>
          <w:color w:val="auto"/>
          <w:sz w:val="28"/>
          <w:szCs w:val="28"/>
          <w:highlight w:val="none"/>
        </w:rPr>
        <w:t>　　　1.采购人信息</w:t>
      </w:r>
    </w:p>
    <w:p>
      <w:pPr>
        <w:spacing w:line="360" w:lineRule="auto"/>
        <w:ind w:left="1129" w:leftChars="371" w:hanging="350" w:hangingChars="125"/>
        <w:jc w:val="left"/>
        <w:rPr>
          <w:rFonts w:ascii="宋体" w:hAnsi="宋体"/>
          <w:color w:val="auto"/>
          <w:sz w:val="28"/>
          <w:szCs w:val="28"/>
          <w:highlight w:val="none"/>
          <w:u w:val="single"/>
        </w:rPr>
      </w:pPr>
      <w:r>
        <w:rPr>
          <w:rFonts w:hint="eastAsia" w:ascii="宋体" w:hAnsi="宋体"/>
          <w:color w:val="auto"/>
          <w:sz w:val="28"/>
          <w:szCs w:val="28"/>
          <w:highlight w:val="none"/>
        </w:rPr>
        <w:t>名 称：</w:t>
      </w:r>
      <w:r>
        <w:rPr>
          <w:rFonts w:hint="eastAsia" w:ascii="宋体" w:hAnsi="宋体"/>
          <w:color w:val="auto"/>
          <w:sz w:val="28"/>
          <w:szCs w:val="28"/>
          <w:highlight w:val="none"/>
          <w:u w:val="single"/>
        </w:rPr>
        <w:t>中国农业科学院农产品加工研究所</w:t>
      </w:r>
    </w:p>
    <w:p>
      <w:pPr>
        <w:spacing w:line="360" w:lineRule="auto"/>
        <w:ind w:firstLine="840" w:firstLineChars="300"/>
        <w:rPr>
          <w:rFonts w:ascii="宋体" w:hAnsi="宋体"/>
          <w:color w:val="auto"/>
          <w:sz w:val="28"/>
          <w:szCs w:val="28"/>
          <w:highlight w:val="none"/>
        </w:rPr>
      </w:pPr>
      <w:r>
        <w:rPr>
          <w:rFonts w:hint="eastAsia" w:ascii="宋体" w:hAnsi="宋体"/>
          <w:color w:val="auto"/>
          <w:sz w:val="28"/>
          <w:szCs w:val="28"/>
          <w:highlight w:val="none"/>
        </w:rPr>
        <w:t>地 址：</w:t>
      </w:r>
      <w:r>
        <w:rPr>
          <w:rFonts w:hint="eastAsia" w:ascii="宋体" w:hAnsi="宋体"/>
          <w:color w:val="auto"/>
          <w:sz w:val="28"/>
          <w:szCs w:val="28"/>
          <w:highlight w:val="none"/>
          <w:u w:val="single"/>
        </w:rPr>
        <w:t>北京市海淀区圆明园西路2号</w:t>
      </w:r>
    </w:p>
    <w:p>
      <w:pPr>
        <w:spacing w:line="360" w:lineRule="auto"/>
        <w:ind w:firstLine="840" w:firstLineChars="300"/>
        <w:rPr>
          <w:rFonts w:ascii="宋体" w:hAnsi="宋体"/>
          <w:color w:val="auto"/>
          <w:sz w:val="28"/>
          <w:szCs w:val="28"/>
          <w:highlight w:val="none"/>
          <w:u w:val="single"/>
        </w:rPr>
      </w:pPr>
      <w:r>
        <w:rPr>
          <w:rFonts w:hint="eastAsia" w:ascii="宋体" w:hAnsi="宋体"/>
          <w:color w:val="auto"/>
          <w:sz w:val="28"/>
          <w:szCs w:val="28"/>
          <w:highlight w:val="none"/>
        </w:rPr>
        <w:t>联系方式：</w:t>
      </w:r>
      <w:r>
        <w:rPr>
          <w:rFonts w:hint="eastAsia" w:ascii="宋体" w:hAnsi="宋体"/>
          <w:color w:val="auto"/>
          <w:sz w:val="28"/>
          <w:szCs w:val="28"/>
          <w:highlight w:val="none"/>
          <w:u w:val="single"/>
        </w:rPr>
        <w:t>丁先生 010-62816028</w:t>
      </w:r>
      <w:bookmarkStart w:id="29" w:name="_Toc28359009"/>
      <w:bookmarkStart w:id="30" w:name="_Toc28359086"/>
    </w:p>
    <w:p>
      <w:pPr>
        <w:spacing w:line="360" w:lineRule="auto"/>
        <w:ind w:firstLine="840" w:firstLineChars="300"/>
        <w:rPr>
          <w:rFonts w:ascii="宋体" w:hAnsi="宋体"/>
          <w:color w:val="auto"/>
          <w:sz w:val="28"/>
          <w:szCs w:val="28"/>
          <w:highlight w:val="none"/>
          <w:u w:val="single"/>
        </w:rPr>
      </w:pPr>
    </w:p>
    <w:p>
      <w:pPr>
        <w:spacing w:line="360" w:lineRule="auto"/>
        <w:ind w:left="1129" w:leftChars="371" w:hanging="350" w:hangingChars="125"/>
        <w:jc w:val="left"/>
        <w:rPr>
          <w:rFonts w:ascii="宋体" w:hAnsi="宋体"/>
          <w:color w:val="auto"/>
          <w:sz w:val="28"/>
          <w:szCs w:val="28"/>
          <w:highlight w:val="none"/>
        </w:rPr>
      </w:pPr>
      <w:r>
        <w:rPr>
          <w:rFonts w:hint="eastAsia" w:ascii="宋体" w:hAnsi="宋体" w:cs="宋体"/>
          <w:color w:val="auto"/>
          <w:sz w:val="28"/>
          <w:szCs w:val="28"/>
          <w:highlight w:val="none"/>
        </w:rPr>
        <w:t>2.采购代理机构信息</w:t>
      </w:r>
      <w:bookmarkEnd w:id="29"/>
      <w:bookmarkEnd w:id="30"/>
    </w:p>
    <w:p>
      <w:pPr>
        <w:spacing w:line="360" w:lineRule="auto"/>
        <w:ind w:firstLine="840" w:firstLineChars="300"/>
        <w:rPr>
          <w:rFonts w:ascii="宋体" w:hAnsi="宋体"/>
          <w:color w:val="auto"/>
          <w:sz w:val="28"/>
          <w:szCs w:val="28"/>
          <w:highlight w:val="none"/>
        </w:rPr>
      </w:pPr>
      <w:bookmarkStart w:id="31" w:name="_Toc28359010"/>
      <w:bookmarkStart w:id="32" w:name="_Toc28359087"/>
      <w:r>
        <w:rPr>
          <w:rFonts w:hint="eastAsia" w:ascii="宋体" w:hAnsi="宋体"/>
          <w:color w:val="auto"/>
          <w:sz w:val="28"/>
          <w:szCs w:val="28"/>
          <w:highlight w:val="none"/>
        </w:rPr>
        <w:t>名 称：</w:t>
      </w:r>
      <w:r>
        <w:rPr>
          <w:rFonts w:hint="eastAsia" w:ascii="宋体" w:hAnsi="宋体"/>
          <w:color w:val="auto"/>
          <w:sz w:val="28"/>
          <w:szCs w:val="28"/>
          <w:highlight w:val="none"/>
          <w:u w:val="single"/>
        </w:rPr>
        <w:t>中天信远国际招投标咨询（北京）有限公司</w:t>
      </w:r>
    </w:p>
    <w:p>
      <w:pPr>
        <w:spacing w:line="360" w:lineRule="auto"/>
        <w:ind w:firstLine="840" w:firstLineChars="300"/>
        <w:rPr>
          <w:rFonts w:ascii="宋体" w:hAnsi="宋体"/>
          <w:color w:val="auto"/>
          <w:sz w:val="28"/>
          <w:szCs w:val="28"/>
          <w:highlight w:val="none"/>
        </w:rPr>
      </w:pPr>
      <w:r>
        <w:rPr>
          <w:rFonts w:hint="eastAsia" w:ascii="宋体" w:hAnsi="宋体"/>
          <w:color w:val="auto"/>
          <w:sz w:val="28"/>
          <w:szCs w:val="28"/>
          <w:highlight w:val="none"/>
        </w:rPr>
        <w:t>地　址：</w:t>
      </w:r>
      <w:r>
        <w:rPr>
          <w:rFonts w:hint="eastAsia" w:ascii="宋体" w:hAnsi="宋体"/>
          <w:color w:val="auto"/>
          <w:sz w:val="28"/>
          <w:szCs w:val="28"/>
          <w:highlight w:val="none"/>
          <w:u w:val="single"/>
        </w:rPr>
        <w:t>北京市朝阳区南磨房路3</w:t>
      </w:r>
      <w:r>
        <w:rPr>
          <w:rFonts w:ascii="宋体" w:hAnsi="宋体"/>
          <w:color w:val="auto"/>
          <w:sz w:val="28"/>
          <w:szCs w:val="28"/>
          <w:highlight w:val="none"/>
          <w:u w:val="single"/>
        </w:rPr>
        <w:t>7</w:t>
      </w:r>
      <w:r>
        <w:rPr>
          <w:rFonts w:hint="eastAsia" w:ascii="宋体" w:hAnsi="宋体"/>
          <w:color w:val="auto"/>
          <w:sz w:val="28"/>
          <w:szCs w:val="28"/>
          <w:highlight w:val="none"/>
          <w:u w:val="single"/>
        </w:rPr>
        <w:t>号华腾北搪商务大厦1</w:t>
      </w:r>
      <w:r>
        <w:rPr>
          <w:rFonts w:ascii="宋体" w:hAnsi="宋体"/>
          <w:color w:val="auto"/>
          <w:sz w:val="28"/>
          <w:szCs w:val="28"/>
          <w:highlight w:val="none"/>
          <w:u w:val="single"/>
        </w:rPr>
        <w:t>1</w:t>
      </w:r>
      <w:r>
        <w:rPr>
          <w:rFonts w:hint="eastAsia" w:ascii="宋体" w:hAnsi="宋体"/>
          <w:color w:val="auto"/>
          <w:sz w:val="28"/>
          <w:szCs w:val="28"/>
          <w:highlight w:val="none"/>
          <w:u w:val="single"/>
        </w:rPr>
        <w:t>层</w:t>
      </w:r>
      <w:r>
        <w:rPr>
          <w:rFonts w:ascii="宋体" w:hAnsi="宋体"/>
          <w:color w:val="auto"/>
          <w:sz w:val="28"/>
          <w:szCs w:val="28"/>
          <w:highlight w:val="none"/>
          <w:u w:val="single"/>
        </w:rPr>
        <w:t>1112</w:t>
      </w:r>
      <w:r>
        <w:rPr>
          <w:rFonts w:hint="eastAsia" w:ascii="宋体" w:hAnsi="宋体"/>
          <w:color w:val="auto"/>
          <w:sz w:val="28"/>
          <w:szCs w:val="28"/>
          <w:highlight w:val="none"/>
          <w:u w:val="single"/>
        </w:rPr>
        <w:t>室</w:t>
      </w:r>
    </w:p>
    <w:p>
      <w:pPr>
        <w:spacing w:line="360" w:lineRule="auto"/>
        <w:ind w:firstLine="840" w:firstLineChars="300"/>
        <w:rPr>
          <w:rFonts w:ascii="宋体" w:hAnsi="宋体"/>
          <w:color w:val="auto"/>
          <w:sz w:val="28"/>
          <w:szCs w:val="28"/>
          <w:highlight w:val="none"/>
        </w:rPr>
      </w:pPr>
      <w:r>
        <w:rPr>
          <w:rFonts w:hint="eastAsia" w:ascii="宋体" w:hAnsi="宋体"/>
          <w:color w:val="auto"/>
          <w:sz w:val="28"/>
          <w:szCs w:val="28"/>
          <w:highlight w:val="none"/>
        </w:rPr>
        <w:t>联系方式：</w:t>
      </w:r>
      <w:r>
        <w:rPr>
          <w:rFonts w:hint="eastAsia" w:ascii="宋体" w:hAnsi="宋体"/>
          <w:color w:val="auto"/>
          <w:sz w:val="28"/>
          <w:szCs w:val="28"/>
          <w:highlight w:val="none"/>
          <w:u w:val="single"/>
        </w:rPr>
        <w:t>0</w:t>
      </w:r>
      <w:r>
        <w:rPr>
          <w:rFonts w:ascii="宋体" w:hAnsi="宋体"/>
          <w:color w:val="auto"/>
          <w:sz w:val="28"/>
          <w:szCs w:val="28"/>
          <w:highlight w:val="none"/>
          <w:u w:val="single"/>
        </w:rPr>
        <w:t>10</w:t>
      </w:r>
      <w:r>
        <w:rPr>
          <w:rFonts w:hint="eastAsia" w:ascii="宋体" w:hAnsi="宋体"/>
          <w:color w:val="auto"/>
          <w:sz w:val="28"/>
          <w:szCs w:val="28"/>
          <w:highlight w:val="none"/>
          <w:u w:val="single"/>
        </w:rPr>
        <w:t>-</w:t>
      </w:r>
      <w:r>
        <w:rPr>
          <w:rFonts w:ascii="宋体" w:hAnsi="宋体"/>
          <w:color w:val="auto"/>
          <w:sz w:val="28"/>
          <w:szCs w:val="28"/>
          <w:highlight w:val="none"/>
          <w:u w:val="single"/>
        </w:rPr>
        <w:t>51909015</w:t>
      </w:r>
    </w:p>
    <w:p>
      <w:pPr>
        <w:spacing w:line="360" w:lineRule="auto"/>
        <w:ind w:firstLine="840" w:firstLineChars="300"/>
        <w:rPr>
          <w:rFonts w:ascii="宋体" w:hAnsi="宋体"/>
          <w:color w:val="auto"/>
          <w:sz w:val="28"/>
          <w:szCs w:val="28"/>
          <w:highlight w:val="none"/>
          <w:u w:val="single"/>
        </w:rPr>
      </w:pPr>
      <w:r>
        <w:rPr>
          <w:rFonts w:hint="eastAsia" w:ascii="宋体" w:hAnsi="宋体" w:cs="宋体"/>
          <w:color w:val="auto"/>
          <w:sz w:val="28"/>
          <w:szCs w:val="28"/>
          <w:highlight w:val="none"/>
        </w:rPr>
        <w:t>3.项目</w:t>
      </w:r>
      <w:r>
        <w:rPr>
          <w:rFonts w:ascii="宋体" w:hAnsi="宋体" w:cs="宋体"/>
          <w:color w:val="auto"/>
          <w:sz w:val="28"/>
          <w:szCs w:val="28"/>
          <w:highlight w:val="none"/>
        </w:rPr>
        <w:t>联系方式</w:t>
      </w:r>
      <w:bookmarkEnd w:id="31"/>
      <w:bookmarkEnd w:id="32"/>
    </w:p>
    <w:p>
      <w:pPr>
        <w:pStyle w:val="9"/>
        <w:spacing w:line="360" w:lineRule="auto"/>
        <w:ind w:firstLine="840" w:firstLineChars="300"/>
        <w:rPr>
          <w:rFonts w:hAnsi="宋体" w:eastAsia="宋体"/>
          <w:color w:val="auto"/>
          <w:sz w:val="28"/>
          <w:szCs w:val="28"/>
          <w:highlight w:val="none"/>
        </w:rPr>
      </w:pPr>
      <w:r>
        <w:rPr>
          <w:rFonts w:hint="eastAsia" w:hAnsi="宋体" w:eastAsia="宋体"/>
          <w:color w:val="auto"/>
          <w:sz w:val="28"/>
          <w:szCs w:val="28"/>
          <w:highlight w:val="none"/>
        </w:rPr>
        <w:t>项目联系人：</w:t>
      </w:r>
      <w:r>
        <w:rPr>
          <w:rFonts w:hint="eastAsia" w:hAnsi="宋体" w:eastAsia="宋体"/>
          <w:color w:val="auto"/>
          <w:sz w:val="28"/>
          <w:szCs w:val="28"/>
          <w:highlight w:val="none"/>
          <w:u w:val="single"/>
        </w:rPr>
        <w:t>孙先生、成先生、鲁女士</w:t>
      </w:r>
    </w:p>
    <w:p>
      <w:pPr>
        <w:spacing w:line="360" w:lineRule="auto"/>
        <w:ind w:firstLine="840" w:firstLineChars="300"/>
        <w:rPr>
          <w:rFonts w:ascii="宋体" w:hAnsi="宋体"/>
          <w:color w:val="auto"/>
          <w:sz w:val="28"/>
          <w:szCs w:val="28"/>
          <w:highlight w:val="none"/>
          <w:u w:val="single"/>
        </w:rPr>
      </w:pPr>
      <w:r>
        <w:rPr>
          <w:rFonts w:hint="eastAsia" w:ascii="宋体" w:hAnsi="宋体"/>
          <w:color w:val="auto"/>
          <w:sz w:val="28"/>
          <w:szCs w:val="28"/>
          <w:highlight w:val="none"/>
        </w:rPr>
        <w:t>电　话：</w:t>
      </w:r>
      <w:r>
        <w:rPr>
          <w:rFonts w:hint="eastAsia" w:ascii="宋体" w:hAnsi="宋体"/>
          <w:color w:val="auto"/>
          <w:sz w:val="28"/>
          <w:szCs w:val="28"/>
          <w:highlight w:val="none"/>
          <w:u w:val="single"/>
        </w:rPr>
        <w:t>010-51909015（座机）/孙兴旺15116933805/成志凯13426200868</w:t>
      </w:r>
    </w:p>
    <w:sectPr>
      <w:footerReference r:id="rId3" w:type="default"/>
      <w:pgSz w:w="11906" w:h="16838"/>
      <w:pgMar w:top="1440" w:right="141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312DE"/>
    <w:rsid w:val="0004305F"/>
    <w:rsid w:val="0005737B"/>
    <w:rsid w:val="000726D8"/>
    <w:rsid w:val="000863C9"/>
    <w:rsid w:val="000A6769"/>
    <w:rsid w:val="000D3B95"/>
    <w:rsid w:val="000D5040"/>
    <w:rsid w:val="000D6508"/>
    <w:rsid w:val="000E43F8"/>
    <w:rsid w:val="00110BD8"/>
    <w:rsid w:val="001277C0"/>
    <w:rsid w:val="00144B23"/>
    <w:rsid w:val="00151C8B"/>
    <w:rsid w:val="00157BAA"/>
    <w:rsid w:val="00192375"/>
    <w:rsid w:val="001B54F9"/>
    <w:rsid w:val="001F571D"/>
    <w:rsid w:val="002151F4"/>
    <w:rsid w:val="00244094"/>
    <w:rsid w:val="00246690"/>
    <w:rsid w:val="0025293C"/>
    <w:rsid w:val="00281637"/>
    <w:rsid w:val="002F4172"/>
    <w:rsid w:val="00322E12"/>
    <w:rsid w:val="0032601F"/>
    <w:rsid w:val="00352EEB"/>
    <w:rsid w:val="003D04C7"/>
    <w:rsid w:val="00421F42"/>
    <w:rsid w:val="00430D5D"/>
    <w:rsid w:val="00445621"/>
    <w:rsid w:val="00473724"/>
    <w:rsid w:val="004B0417"/>
    <w:rsid w:val="004B44D5"/>
    <w:rsid w:val="004F0CA3"/>
    <w:rsid w:val="004F449A"/>
    <w:rsid w:val="00570001"/>
    <w:rsid w:val="005902A4"/>
    <w:rsid w:val="005C27A4"/>
    <w:rsid w:val="005C35E5"/>
    <w:rsid w:val="006939FC"/>
    <w:rsid w:val="00721B00"/>
    <w:rsid w:val="00781803"/>
    <w:rsid w:val="00786DB0"/>
    <w:rsid w:val="0079663A"/>
    <w:rsid w:val="007C10E5"/>
    <w:rsid w:val="007E2D83"/>
    <w:rsid w:val="007E2F3D"/>
    <w:rsid w:val="00806BE8"/>
    <w:rsid w:val="0080774A"/>
    <w:rsid w:val="008652C8"/>
    <w:rsid w:val="008666C5"/>
    <w:rsid w:val="00877C6E"/>
    <w:rsid w:val="008974EE"/>
    <w:rsid w:val="008A1192"/>
    <w:rsid w:val="008A2FE7"/>
    <w:rsid w:val="008C1E84"/>
    <w:rsid w:val="008E5D37"/>
    <w:rsid w:val="0090581E"/>
    <w:rsid w:val="0094027F"/>
    <w:rsid w:val="00966F02"/>
    <w:rsid w:val="00976E4B"/>
    <w:rsid w:val="009A15C7"/>
    <w:rsid w:val="009D0425"/>
    <w:rsid w:val="00A30F31"/>
    <w:rsid w:val="00A3374C"/>
    <w:rsid w:val="00A405BD"/>
    <w:rsid w:val="00A45273"/>
    <w:rsid w:val="00A52789"/>
    <w:rsid w:val="00A762E1"/>
    <w:rsid w:val="00AB6F83"/>
    <w:rsid w:val="00B0503D"/>
    <w:rsid w:val="00B55E9A"/>
    <w:rsid w:val="00C2159C"/>
    <w:rsid w:val="00C37A88"/>
    <w:rsid w:val="00C528E7"/>
    <w:rsid w:val="00C52F06"/>
    <w:rsid w:val="00C61BBE"/>
    <w:rsid w:val="00C74DD7"/>
    <w:rsid w:val="00C95981"/>
    <w:rsid w:val="00CF12A6"/>
    <w:rsid w:val="00D05699"/>
    <w:rsid w:val="00D26832"/>
    <w:rsid w:val="00D50F60"/>
    <w:rsid w:val="00D67347"/>
    <w:rsid w:val="00DA6911"/>
    <w:rsid w:val="00DA7067"/>
    <w:rsid w:val="00DB3E5D"/>
    <w:rsid w:val="00DC09FA"/>
    <w:rsid w:val="00DD616D"/>
    <w:rsid w:val="00DF60EE"/>
    <w:rsid w:val="00E143AE"/>
    <w:rsid w:val="00E43014"/>
    <w:rsid w:val="00E457B7"/>
    <w:rsid w:val="00E702D6"/>
    <w:rsid w:val="00E75E92"/>
    <w:rsid w:val="00EA5343"/>
    <w:rsid w:val="00EC1655"/>
    <w:rsid w:val="00ED7C2A"/>
    <w:rsid w:val="00EE3266"/>
    <w:rsid w:val="00F53A4B"/>
    <w:rsid w:val="00F6342A"/>
    <w:rsid w:val="00FF4801"/>
    <w:rsid w:val="11C83888"/>
    <w:rsid w:val="15992931"/>
    <w:rsid w:val="217C6D52"/>
    <w:rsid w:val="265D0459"/>
    <w:rsid w:val="357325F1"/>
    <w:rsid w:val="583E20F7"/>
    <w:rsid w:val="6F3C1DE3"/>
    <w:rsid w:val="74D847AC"/>
    <w:rsid w:val="7B2823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qFormat/>
    <w:uiPriority w:val="0"/>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szCs w:val="20"/>
    </w:rPr>
  </w:style>
  <w:style w:type="paragraph" w:styleId="3">
    <w:name w:val="Body Text Indent"/>
    <w:basedOn w:val="1"/>
    <w:qFormat/>
    <w:uiPriority w:val="0"/>
    <w:pPr>
      <w:spacing w:line="360" w:lineRule="auto"/>
      <w:ind w:firstLine="570"/>
    </w:pPr>
    <w:rPr>
      <w:sz w:val="24"/>
    </w:rPr>
  </w:style>
  <w:style w:type="paragraph" w:styleId="6">
    <w:name w:val="annotation text"/>
    <w:basedOn w:val="1"/>
    <w:link w:val="28"/>
    <w:semiHidden/>
    <w:unhideWhenUsed/>
    <w:qFormat/>
    <w:uiPriority w:val="99"/>
    <w:pPr>
      <w:jc w:val="left"/>
    </w:pPr>
  </w:style>
  <w:style w:type="paragraph" w:styleId="7">
    <w:name w:val="Body Text"/>
    <w:basedOn w:val="1"/>
    <w:qFormat/>
    <w:uiPriority w:val="1"/>
    <w:pPr>
      <w:autoSpaceDE w:val="0"/>
      <w:autoSpaceDN w:val="0"/>
      <w:jc w:val="left"/>
    </w:pPr>
    <w:rPr>
      <w:rFonts w:ascii="宋体" w:hAnsi="宋体" w:cs="宋体"/>
      <w:kern w:val="0"/>
      <w:sz w:val="24"/>
      <w:szCs w:val="24"/>
      <w:lang w:eastAsia="en-US"/>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link w:val="29"/>
    <w:qFormat/>
    <w:uiPriority w:val="0"/>
    <w:rPr>
      <w:rFonts w:ascii="宋体" w:hAnsi="Courier New" w:eastAsiaTheme="minorEastAsia" w:cstheme="minorBidi"/>
      <w:szCs w:val="22"/>
    </w:rPr>
  </w:style>
  <w:style w:type="paragraph" w:styleId="10">
    <w:name w:val="Date"/>
    <w:basedOn w:val="1"/>
    <w:next w:val="1"/>
    <w:link w:val="30"/>
    <w:qFormat/>
    <w:uiPriority w:val="0"/>
    <w:pPr>
      <w:adjustRightInd w:val="0"/>
      <w:spacing w:line="360" w:lineRule="atLeast"/>
      <w:textAlignment w:val="baseline"/>
    </w:pPr>
    <w:rPr>
      <w:rFonts w:ascii="宋体" w:cs="宋体"/>
      <w:kern w:val="0"/>
      <w:sz w:val="24"/>
      <w:szCs w:val="24"/>
    </w:rPr>
  </w:style>
  <w:style w:type="paragraph" w:styleId="11">
    <w:name w:val="Balloon Text"/>
    <w:basedOn w:val="1"/>
    <w:link w:val="31"/>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2"/>
    <w:qFormat/>
    <w:uiPriority w:val="0"/>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6"/>
    <w:next w:val="6"/>
    <w:link w:val="33"/>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themeColor="hyperlink"/>
      <w:u w:val="single"/>
    </w:rPr>
  </w:style>
  <w:style w:type="character" w:styleId="23">
    <w:name w:val="annotation reference"/>
    <w:basedOn w:val="21"/>
    <w:semiHidden/>
    <w:unhideWhenUsed/>
    <w:qFormat/>
    <w:uiPriority w:val="99"/>
    <w:rPr>
      <w:sz w:val="21"/>
      <w:szCs w:val="21"/>
    </w:rPr>
  </w:style>
  <w:style w:type="character" w:customStyle="1" w:styleId="24">
    <w:name w:val="页眉 字符"/>
    <w:basedOn w:val="21"/>
    <w:link w:val="13"/>
    <w:qFormat/>
    <w:uiPriority w:val="99"/>
    <w:rPr>
      <w:sz w:val="18"/>
      <w:szCs w:val="18"/>
    </w:rPr>
  </w:style>
  <w:style w:type="character" w:customStyle="1" w:styleId="25">
    <w:name w:val="页脚 字符"/>
    <w:basedOn w:val="21"/>
    <w:link w:val="12"/>
    <w:qFormat/>
    <w:uiPriority w:val="99"/>
    <w:rPr>
      <w:sz w:val="18"/>
      <w:szCs w:val="18"/>
    </w:rPr>
  </w:style>
  <w:style w:type="character" w:customStyle="1" w:styleId="26">
    <w:name w:val="标题 1 字符"/>
    <w:basedOn w:val="21"/>
    <w:link w:val="4"/>
    <w:qFormat/>
    <w:uiPriority w:val="9"/>
    <w:rPr>
      <w:rFonts w:ascii="Times New Roman" w:hAnsi="Times New Roman" w:eastAsia="宋体" w:cs="Times New Roman"/>
      <w:b/>
      <w:bCs/>
      <w:kern w:val="44"/>
      <w:sz w:val="44"/>
      <w:szCs w:val="44"/>
    </w:rPr>
  </w:style>
  <w:style w:type="character" w:customStyle="1" w:styleId="27">
    <w:name w:val="标题 2 字符"/>
    <w:basedOn w:val="21"/>
    <w:link w:val="5"/>
    <w:qFormat/>
    <w:uiPriority w:val="0"/>
    <w:rPr>
      <w:rFonts w:ascii="Arial" w:hAnsi="Arial" w:eastAsia="黑体" w:cs="Arial"/>
      <w:b/>
      <w:bCs/>
      <w:sz w:val="32"/>
      <w:szCs w:val="32"/>
    </w:rPr>
  </w:style>
  <w:style w:type="character" w:customStyle="1" w:styleId="28">
    <w:name w:val="批注文字 字符"/>
    <w:basedOn w:val="21"/>
    <w:link w:val="6"/>
    <w:semiHidden/>
    <w:qFormat/>
    <w:uiPriority w:val="99"/>
    <w:rPr>
      <w:rFonts w:ascii="Times New Roman" w:hAnsi="Times New Roman" w:eastAsia="宋体" w:cs="Times New Roman"/>
      <w:szCs w:val="21"/>
    </w:rPr>
  </w:style>
  <w:style w:type="character" w:customStyle="1" w:styleId="29">
    <w:name w:val="纯文本 字符1"/>
    <w:basedOn w:val="21"/>
    <w:link w:val="9"/>
    <w:qFormat/>
    <w:uiPriority w:val="0"/>
    <w:rPr>
      <w:rFonts w:ascii="宋体" w:hAnsi="Courier New"/>
    </w:rPr>
  </w:style>
  <w:style w:type="character" w:customStyle="1" w:styleId="30">
    <w:name w:val="日期 字符"/>
    <w:basedOn w:val="21"/>
    <w:link w:val="10"/>
    <w:qFormat/>
    <w:uiPriority w:val="0"/>
    <w:rPr>
      <w:rFonts w:ascii="宋体" w:hAnsi="Times New Roman" w:eastAsia="宋体" w:cs="宋体"/>
      <w:kern w:val="0"/>
      <w:sz w:val="24"/>
      <w:szCs w:val="24"/>
    </w:rPr>
  </w:style>
  <w:style w:type="character" w:customStyle="1" w:styleId="31">
    <w:name w:val="批注框文本 字符"/>
    <w:basedOn w:val="21"/>
    <w:link w:val="11"/>
    <w:semiHidden/>
    <w:qFormat/>
    <w:uiPriority w:val="99"/>
    <w:rPr>
      <w:rFonts w:ascii="Times New Roman" w:hAnsi="Times New Roman" w:eastAsia="宋体" w:cs="Times New Roman"/>
      <w:sz w:val="18"/>
      <w:szCs w:val="18"/>
    </w:rPr>
  </w:style>
  <w:style w:type="character" w:customStyle="1" w:styleId="32">
    <w:name w:val="正文文本 2 字符"/>
    <w:basedOn w:val="21"/>
    <w:link w:val="16"/>
    <w:qFormat/>
    <w:uiPriority w:val="0"/>
    <w:rPr>
      <w:rFonts w:ascii="Times New Roman" w:hAnsi="Times New Roman" w:eastAsia="宋体" w:cs="Times New Roman"/>
      <w:szCs w:val="21"/>
    </w:rPr>
  </w:style>
  <w:style w:type="character" w:customStyle="1" w:styleId="33">
    <w:name w:val="批注主题 字符"/>
    <w:basedOn w:val="28"/>
    <w:link w:val="18"/>
    <w:semiHidden/>
    <w:qFormat/>
    <w:uiPriority w:val="99"/>
    <w:rPr>
      <w:rFonts w:ascii="Times New Roman" w:hAnsi="Times New Roman" w:eastAsia="宋体" w:cs="Times New Roman"/>
      <w:b/>
      <w:bCs/>
      <w:szCs w:val="21"/>
    </w:rPr>
  </w:style>
  <w:style w:type="character" w:customStyle="1" w:styleId="34">
    <w:name w:val="纯文本 字符"/>
    <w:basedOn w:val="21"/>
    <w:semiHidden/>
    <w:qFormat/>
    <w:uiPriority w:val="99"/>
    <w:rPr>
      <w:rFonts w:hAnsi="Courier New" w:cs="Courier New" w:asciiTheme="minorEastAsia"/>
      <w:szCs w:val="21"/>
    </w:rPr>
  </w:style>
  <w:style w:type="paragraph" w:styleId="35">
    <w:name w:val="List Paragraph"/>
    <w:basedOn w:val="1"/>
    <w:qFormat/>
    <w:uiPriority w:val="34"/>
    <w:pPr>
      <w:ind w:firstLine="420" w:firstLineChars="200"/>
    </w:pPr>
  </w:style>
  <w:style w:type="paragraph" w:customStyle="1" w:styleId="36">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7">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TOC 标题2"/>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9">
    <w:name w:val="qowt-font10-gbk"/>
    <w:basedOn w:val="2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326</Words>
  <Characters>1862</Characters>
  <Lines>15</Lines>
  <Paragraphs>4</Paragraphs>
  <TotalTime>0</TotalTime>
  <ScaleCrop>false</ScaleCrop>
  <LinksUpToDate>false</LinksUpToDate>
  <CharactersWithSpaces>2184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旺旺✨</cp:lastModifiedBy>
  <cp:lastPrinted>2020-03-23T07:37:00Z</cp:lastPrinted>
  <dcterms:modified xsi:type="dcterms:W3CDTF">2020-09-04T08:22:56Z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